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AB397" w14:textId="77777777" w:rsidR="00F06176" w:rsidRPr="00E1609B" w:rsidRDefault="00F06176" w:rsidP="00F06176">
      <w:pPr>
        <w:pStyle w:val="Heading1"/>
        <w:spacing w:before="140" w:after="60"/>
        <w:jc w:val="right"/>
        <w:rPr>
          <w:rStyle w:val="Strong"/>
          <w:rFonts w:asciiTheme="majorBidi" w:hAnsiTheme="majorBidi" w:cstheme="majorBidi"/>
          <w:sz w:val="32"/>
        </w:rPr>
      </w:pPr>
      <w:r w:rsidRPr="00E1609B">
        <w:rPr>
          <w:rStyle w:val="Strong"/>
          <w:rFonts w:asciiTheme="majorBidi" w:hAnsiTheme="majorBidi" w:cstheme="majorBidi"/>
          <w:sz w:val="32"/>
        </w:rPr>
        <w:t>Strategic Environmental Assessment of Sungun Copper Mine Development Using Geographic Information Systems and the Analytic Hierarchy Process</w:t>
      </w:r>
    </w:p>
    <w:p w14:paraId="6B887D59" w14:textId="77777777" w:rsidR="00F06176" w:rsidRPr="000539CD" w:rsidRDefault="00F06176" w:rsidP="00F06176">
      <w:pPr>
        <w:bidi w:val="0"/>
        <w:spacing w:before="100" w:beforeAutospacing="1" w:after="40" w:afterAutospacing="1"/>
        <w:ind w:firstLine="0"/>
        <w:jc w:val="center"/>
        <w:outlineLvl w:val="2"/>
        <w:rPr>
          <w:rStyle w:val="Emphasis"/>
          <w:rFonts w:eastAsia="Times New Roman" w:cs="Times New Roman"/>
          <w:color w:val="auto"/>
          <w:sz w:val="20"/>
          <w:szCs w:val="20"/>
        </w:rPr>
      </w:pPr>
      <w:r w:rsidRPr="000539CD">
        <w:rPr>
          <w:rStyle w:val="Emphasis"/>
          <w:rFonts w:eastAsia="Times New Roman" w:cs="Times New Roman"/>
          <w:color w:val="auto"/>
          <w:sz w:val="20"/>
          <w:szCs w:val="20"/>
        </w:rPr>
        <w:t>Yahya Jabari¹, Mohammad Ebrahim Ramazani²*, Mohammad Mosaferi³, Omid Rafieyan⁴, Mohammad Ghanbari⁵</w:t>
      </w:r>
    </w:p>
    <w:p w14:paraId="6E3DA2D6" w14:textId="77777777" w:rsidR="00F06176" w:rsidRPr="000539CD" w:rsidRDefault="00F06176" w:rsidP="00F06176">
      <w:pPr>
        <w:bidi w:val="0"/>
        <w:spacing w:before="100" w:beforeAutospacing="1" w:after="40" w:afterAutospacing="1"/>
        <w:ind w:firstLine="0"/>
        <w:outlineLvl w:val="2"/>
        <w:rPr>
          <w:rStyle w:val="Emphasis"/>
          <w:rFonts w:eastAsia="Times New Roman" w:cs="Times New Roman"/>
          <w:color w:val="auto"/>
          <w:sz w:val="20"/>
          <w:szCs w:val="20"/>
        </w:rPr>
      </w:pPr>
      <w:r w:rsidRPr="000539CD">
        <w:rPr>
          <w:rStyle w:val="Emphasis"/>
          <w:rFonts w:eastAsia="Times New Roman" w:cs="Times New Roman"/>
          <w:color w:val="auto"/>
          <w:sz w:val="20"/>
          <w:szCs w:val="20"/>
        </w:rPr>
        <w:t>¹</w:t>
      </w:r>
      <w:r w:rsidRPr="000539CD">
        <w:rPr>
          <w:rStyle w:val="Emphasis"/>
          <w:rFonts w:eastAsia="Times New Roman" w:cs="Times New Roman"/>
          <w:color w:val="auto"/>
          <w:sz w:val="20"/>
          <w:szCs w:val="20"/>
          <w:rtl/>
        </w:rPr>
        <w:t xml:space="preserve"> </w:t>
      </w:r>
      <w:r w:rsidRPr="000539CD">
        <w:rPr>
          <w:rStyle w:val="Emphasis"/>
          <w:rFonts w:eastAsia="Times New Roman" w:cs="Times New Roman"/>
          <w:color w:val="auto"/>
          <w:sz w:val="20"/>
          <w:szCs w:val="20"/>
        </w:rPr>
        <w:t>Ph.D. Candidate in Environmental Science and Engineering, Department of Environmental Science and Engineering, Ta.C., Islamic Azad University, Tabriz, Iran</w:t>
      </w:r>
      <w:r w:rsidRPr="000539CD">
        <w:rPr>
          <w:rStyle w:val="Emphasis"/>
          <w:rFonts w:eastAsia="Times New Roman" w:cs="Times New Roman"/>
          <w:color w:val="auto"/>
          <w:sz w:val="20"/>
          <w:szCs w:val="20"/>
          <w:rtl/>
        </w:rPr>
        <w:t>.</w:t>
      </w:r>
    </w:p>
    <w:p w14:paraId="4D9CCDF9" w14:textId="77777777" w:rsidR="00F06176" w:rsidRPr="000539CD" w:rsidRDefault="00F06176" w:rsidP="00F06176">
      <w:pPr>
        <w:bidi w:val="0"/>
        <w:spacing w:before="100" w:beforeAutospacing="1" w:after="40" w:afterAutospacing="1"/>
        <w:ind w:firstLine="0"/>
        <w:outlineLvl w:val="2"/>
        <w:rPr>
          <w:rStyle w:val="Emphasis"/>
          <w:rFonts w:eastAsia="Times New Roman" w:cs="Times New Roman"/>
          <w:color w:val="auto"/>
          <w:sz w:val="20"/>
          <w:szCs w:val="20"/>
        </w:rPr>
      </w:pPr>
      <w:r w:rsidRPr="000539CD">
        <w:rPr>
          <w:rStyle w:val="Emphasis"/>
          <w:rFonts w:eastAsia="Times New Roman" w:cs="Times New Roman"/>
          <w:color w:val="auto"/>
          <w:sz w:val="20"/>
          <w:szCs w:val="20"/>
        </w:rPr>
        <w:t>²</w:t>
      </w:r>
      <w:r w:rsidRPr="000539CD">
        <w:rPr>
          <w:rStyle w:val="Emphasis"/>
          <w:rFonts w:eastAsia="Times New Roman" w:cs="Times New Roman"/>
          <w:color w:val="auto"/>
          <w:sz w:val="20"/>
          <w:szCs w:val="20"/>
          <w:rtl/>
        </w:rPr>
        <w:t xml:space="preserve"> </w:t>
      </w:r>
      <w:r w:rsidRPr="000539CD">
        <w:rPr>
          <w:rStyle w:val="Emphasis"/>
          <w:rFonts w:eastAsia="Times New Roman" w:cs="Times New Roman"/>
          <w:color w:val="auto"/>
          <w:sz w:val="20"/>
          <w:szCs w:val="20"/>
        </w:rPr>
        <w:t>Department of Environmental Engineering, Ta.C., Islamic Azad University, Tabriz, Iran; Sustainable Development Management Research Center of Urmia Lake Basin and Aras River, Ta.C., Islamic Azad University, Tabriz, Iran</w:t>
      </w:r>
      <w:r w:rsidRPr="000539CD">
        <w:rPr>
          <w:rStyle w:val="Emphasis"/>
          <w:rFonts w:eastAsia="Times New Roman" w:cs="Times New Roman"/>
          <w:color w:val="auto"/>
          <w:sz w:val="20"/>
          <w:szCs w:val="20"/>
          <w:rtl/>
        </w:rPr>
        <w:t>.</w:t>
      </w:r>
    </w:p>
    <w:p w14:paraId="1396A865" w14:textId="77777777" w:rsidR="00F06176" w:rsidRPr="000539CD" w:rsidRDefault="00F06176" w:rsidP="00F06176">
      <w:pPr>
        <w:bidi w:val="0"/>
        <w:spacing w:before="100" w:beforeAutospacing="1" w:after="40" w:afterAutospacing="1"/>
        <w:ind w:firstLine="0"/>
        <w:outlineLvl w:val="2"/>
        <w:rPr>
          <w:rStyle w:val="Emphasis"/>
          <w:rFonts w:eastAsia="Times New Roman" w:cs="Times New Roman"/>
          <w:color w:val="auto"/>
          <w:sz w:val="20"/>
          <w:szCs w:val="20"/>
        </w:rPr>
      </w:pPr>
      <w:r w:rsidRPr="000539CD">
        <w:rPr>
          <w:rStyle w:val="Emphasis"/>
          <w:rFonts w:eastAsia="Times New Roman" w:cs="Times New Roman"/>
          <w:color w:val="auto"/>
          <w:sz w:val="20"/>
          <w:szCs w:val="20"/>
        </w:rPr>
        <w:t>³</w:t>
      </w:r>
      <w:r w:rsidRPr="000539CD">
        <w:rPr>
          <w:rStyle w:val="Emphasis"/>
          <w:rFonts w:eastAsia="Times New Roman" w:cs="Times New Roman"/>
          <w:color w:val="auto"/>
          <w:sz w:val="20"/>
          <w:szCs w:val="20"/>
          <w:rtl/>
        </w:rPr>
        <w:t xml:space="preserve"> </w:t>
      </w:r>
      <w:r w:rsidRPr="000539CD">
        <w:rPr>
          <w:rStyle w:val="Emphasis"/>
          <w:rFonts w:eastAsia="Times New Roman" w:cs="Times New Roman"/>
          <w:color w:val="auto"/>
          <w:sz w:val="20"/>
          <w:szCs w:val="20"/>
        </w:rPr>
        <w:t>Tabriz Health Services Management Research Center, Tabriz University of Medical Sciences, Tabriz, Iran; Water Sciences and Hydro informatics Research Center, Khazar University, Baku, Azerbaijan</w:t>
      </w:r>
      <w:r w:rsidRPr="000539CD">
        <w:rPr>
          <w:rStyle w:val="Emphasis"/>
          <w:rFonts w:eastAsia="Times New Roman" w:cs="Times New Roman"/>
          <w:color w:val="auto"/>
          <w:sz w:val="20"/>
          <w:szCs w:val="20"/>
          <w:rtl/>
        </w:rPr>
        <w:t>.</w:t>
      </w:r>
    </w:p>
    <w:p w14:paraId="15C6E37D" w14:textId="77777777" w:rsidR="00F06176" w:rsidRPr="000539CD" w:rsidRDefault="00F06176" w:rsidP="00F06176">
      <w:pPr>
        <w:bidi w:val="0"/>
        <w:spacing w:before="100" w:beforeAutospacing="1" w:after="40" w:afterAutospacing="1"/>
        <w:ind w:firstLine="0"/>
        <w:outlineLvl w:val="2"/>
        <w:rPr>
          <w:rStyle w:val="Emphasis"/>
          <w:rFonts w:eastAsia="Times New Roman" w:cs="Times New Roman"/>
          <w:color w:val="auto"/>
          <w:sz w:val="20"/>
          <w:szCs w:val="20"/>
        </w:rPr>
      </w:pPr>
      <w:r w:rsidRPr="000539CD">
        <w:rPr>
          <w:rStyle w:val="Emphasis"/>
          <w:rFonts w:eastAsia="Times New Roman" w:cs="Times New Roman"/>
          <w:color w:val="auto"/>
          <w:sz w:val="20"/>
          <w:szCs w:val="20"/>
        </w:rPr>
        <w:t>⁴</w:t>
      </w:r>
      <w:r w:rsidRPr="000539CD">
        <w:rPr>
          <w:rStyle w:val="Emphasis"/>
          <w:rFonts w:eastAsia="Times New Roman" w:cs="Times New Roman"/>
          <w:color w:val="auto"/>
          <w:sz w:val="20"/>
          <w:szCs w:val="20"/>
          <w:rtl/>
        </w:rPr>
        <w:t xml:space="preserve"> </w:t>
      </w:r>
      <w:r w:rsidRPr="000539CD">
        <w:rPr>
          <w:rStyle w:val="Emphasis"/>
          <w:rFonts w:eastAsia="Times New Roman" w:cs="Times New Roman"/>
          <w:color w:val="auto"/>
          <w:sz w:val="20"/>
          <w:szCs w:val="20"/>
        </w:rPr>
        <w:t>Associate Professor, Department of Environmental Science and Engineering, Ta.C.</w:t>
      </w:r>
      <w:proofErr w:type="gramStart"/>
      <w:r w:rsidRPr="000539CD">
        <w:rPr>
          <w:rStyle w:val="Emphasis"/>
          <w:rFonts w:eastAsia="Times New Roman" w:cs="Times New Roman"/>
          <w:color w:val="auto"/>
          <w:sz w:val="20"/>
          <w:szCs w:val="20"/>
        </w:rPr>
        <w:t>,  Islamic</w:t>
      </w:r>
      <w:proofErr w:type="gramEnd"/>
      <w:r w:rsidRPr="000539CD">
        <w:rPr>
          <w:rStyle w:val="Emphasis"/>
          <w:rFonts w:eastAsia="Times New Roman" w:cs="Times New Roman"/>
          <w:color w:val="auto"/>
          <w:sz w:val="20"/>
          <w:szCs w:val="20"/>
        </w:rPr>
        <w:t xml:space="preserve"> Azad University, Tabriz, Iran</w:t>
      </w:r>
      <w:r w:rsidRPr="000539CD">
        <w:rPr>
          <w:rStyle w:val="Emphasis"/>
          <w:rFonts w:eastAsia="Times New Roman" w:cs="Times New Roman"/>
          <w:color w:val="auto"/>
          <w:sz w:val="20"/>
          <w:szCs w:val="20"/>
          <w:rtl/>
        </w:rPr>
        <w:t>.</w:t>
      </w:r>
    </w:p>
    <w:p w14:paraId="0A12001D" w14:textId="77777777" w:rsidR="00F06176" w:rsidRPr="000539CD" w:rsidRDefault="00F06176" w:rsidP="00F06176">
      <w:pPr>
        <w:bidi w:val="0"/>
        <w:spacing w:before="100" w:beforeAutospacing="1" w:after="40" w:afterAutospacing="1"/>
        <w:ind w:firstLine="0"/>
        <w:outlineLvl w:val="2"/>
        <w:rPr>
          <w:rStyle w:val="Emphasis"/>
          <w:rFonts w:eastAsia="Times New Roman" w:cs="Times New Roman"/>
          <w:color w:val="auto"/>
          <w:sz w:val="20"/>
          <w:szCs w:val="20"/>
        </w:rPr>
      </w:pPr>
      <w:r w:rsidRPr="000539CD">
        <w:rPr>
          <w:rStyle w:val="Emphasis"/>
          <w:rFonts w:eastAsia="Times New Roman" w:cs="Times New Roman"/>
          <w:color w:val="auto"/>
          <w:sz w:val="20"/>
          <w:szCs w:val="20"/>
        </w:rPr>
        <w:t>⁵</w:t>
      </w:r>
      <w:r w:rsidRPr="000539CD">
        <w:rPr>
          <w:rStyle w:val="Emphasis"/>
          <w:rFonts w:eastAsia="Times New Roman" w:cs="Times New Roman"/>
          <w:color w:val="auto"/>
          <w:sz w:val="20"/>
          <w:szCs w:val="20"/>
          <w:rtl/>
        </w:rPr>
        <w:t xml:space="preserve"> </w:t>
      </w:r>
      <w:r w:rsidRPr="000539CD">
        <w:rPr>
          <w:rStyle w:val="Emphasis"/>
          <w:rFonts w:eastAsia="Times New Roman" w:cs="Times New Roman"/>
          <w:color w:val="auto"/>
          <w:sz w:val="20"/>
          <w:szCs w:val="20"/>
        </w:rPr>
        <w:t>Health and Environment Research Center, Tabriz University of Medical Sciences, Tabriz, Iran</w:t>
      </w:r>
      <w:r w:rsidRPr="000539CD">
        <w:rPr>
          <w:rStyle w:val="Emphasis"/>
          <w:rFonts w:eastAsia="Times New Roman" w:cs="Times New Roman"/>
          <w:color w:val="auto"/>
          <w:sz w:val="20"/>
          <w:szCs w:val="20"/>
          <w:rtl/>
        </w:rPr>
        <w:t>.</w:t>
      </w:r>
    </w:p>
    <w:p w14:paraId="6F9B19DF" w14:textId="77777777" w:rsidR="00F06176" w:rsidRPr="000539CD" w:rsidRDefault="00F06176" w:rsidP="00F06176">
      <w:pPr>
        <w:bidi w:val="0"/>
        <w:spacing w:before="100" w:beforeAutospacing="1" w:after="40" w:afterAutospacing="1"/>
        <w:ind w:firstLine="0"/>
        <w:outlineLvl w:val="2"/>
        <w:rPr>
          <w:rStyle w:val="Emphasis"/>
          <w:rFonts w:eastAsia="Times New Roman" w:cs="Times New Roman"/>
          <w:color w:val="auto"/>
          <w:sz w:val="20"/>
          <w:szCs w:val="20"/>
        </w:rPr>
      </w:pPr>
      <w:r w:rsidRPr="000539CD">
        <w:rPr>
          <w:rStyle w:val="Emphasis"/>
          <w:rFonts w:eastAsia="Times New Roman" w:cs="Times New Roman"/>
          <w:color w:val="auto"/>
          <w:sz w:val="20"/>
          <w:szCs w:val="20"/>
          <w:rtl/>
        </w:rPr>
        <w:t xml:space="preserve">* </w:t>
      </w:r>
      <w:r w:rsidRPr="000539CD">
        <w:rPr>
          <w:rStyle w:val="Emphasis"/>
          <w:rFonts w:eastAsia="Times New Roman" w:cs="Times New Roman"/>
          <w:color w:val="auto"/>
          <w:sz w:val="20"/>
          <w:szCs w:val="20"/>
        </w:rPr>
        <w:t>Corresponding author: Mohammad Ebrahim Ramazani</w:t>
      </w:r>
    </w:p>
    <w:p w14:paraId="2C3C68D7" w14:textId="77777777" w:rsidR="00F06176" w:rsidRDefault="00F06176" w:rsidP="00F06176">
      <w:pPr>
        <w:bidi w:val="0"/>
        <w:spacing w:before="100" w:beforeAutospacing="1" w:after="40" w:afterAutospacing="1"/>
        <w:ind w:firstLine="0"/>
        <w:outlineLvl w:val="2"/>
        <w:rPr>
          <w:rFonts w:eastAsia="Times New Roman" w:cs="Times New Roman"/>
          <w:b/>
          <w:bCs/>
          <w:color w:val="auto"/>
          <w:sz w:val="27"/>
          <w:szCs w:val="27"/>
        </w:rPr>
      </w:pPr>
      <w:r w:rsidRPr="000539CD">
        <w:rPr>
          <w:rStyle w:val="Emphasis"/>
          <w:rFonts w:eastAsia="Times New Roman" w:cs="Times New Roman"/>
          <w:color w:val="auto"/>
          <w:sz w:val="20"/>
          <w:szCs w:val="20"/>
        </w:rPr>
        <w:t xml:space="preserve">Email: </w:t>
      </w:r>
      <w:hyperlink r:id="rId7" w:history="1">
        <w:r w:rsidRPr="008858F6">
          <w:rPr>
            <w:rStyle w:val="Hyperlink"/>
            <w:rFonts w:eastAsia="Times New Roman"/>
            <w:sz w:val="20"/>
            <w:szCs w:val="20"/>
          </w:rPr>
          <w:t>ramazani@iau.ac.ir</w:t>
        </w:r>
      </w:hyperlink>
    </w:p>
    <w:p w14:paraId="248EB814" w14:textId="77777777" w:rsidR="000F7083" w:rsidRPr="000F7083" w:rsidRDefault="000F7083" w:rsidP="000F7083">
      <w:pPr>
        <w:bidi w:val="0"/>
        <w:spacing w:beforeAutospacing="1" w:after="20" w:afterAutospacing="1"/>
        <w:ind w:firstLine="0"/>
        <w:jc w:val="left"/>
        <w:outlineLvl w:val="2"/>
        <w:rPr>
          <w:rFonts w:eastAsia="Times New Roman" w:cs="Times New Roman"/>
          <w:b/>
          <w:bCs/>
          <w:color w:val="auto"/>
          <w:sz w:val="27"/>
          <w:szCs w:val="27"/>
          <w:lang w:val="en" w:bidi="fa-IR"/>
        </w:rPr>
      </w:pPr>
      <w:r w:rsidRPr="000F7083">
        <w:rPr>
          <w:rFonts w:eastAsia="Times New Roman" w:cs="Times New Roman"/>
          <w:b/>
          <w:bCs/>
          <w:color w:val="auto"/>
          <w:sz w:val="27"/>
          <w:szCs w:val="27"/>
          <w:lang w:val="en" w:bidi="fa-IR"/>
        </w:rPr>
        <w:t>Abstract</w:t>
      </w:r>
    </w:p>
    <w:p w14:paraId="1238A50B" w14:textId="77777777" w:rsidR="000F7083" w:rsidRPr="00252C48" w:rsidRDefault="000F7083" w:rsidP="00252C48">
      <w:pPr>
        <w:bidi w:val="0"/>
        <w:spacing w:beforeAutospacing="1" w:afterAutospacing="1" w:line="216" w:lineRule="auto"/>
        <w:ind w:firstLine="0"/>
        <w:rPr>
          <w:rFonts w:eastAsia="Times New Roman" w:cs="Times New Roman"/>
          <w:color w:val="auto"/>
          <w:szCs w:val="22"/>
          <w:lang w:val="en" w:bidi="fa-IR"/>
        </w:rPr>
      </w:pPr>
      <w:r w:rsidRPr="00252C48">
        <w:rPr>
          <w:b/>
          <w:szCs w:val="22"/>
        </w:rPr>
        <w:t>Objective:</w:t>
      </w:r>
      <w:r w:rsidRPr="00252C48">
        <w:rPr>
          <w:szCs w:val="22"/>
        </w:rPr>
        <w:t xml:space="preserve"> This study assessed the Strategic Environmental Assessment (SEA) implications of Sungun Copper Mine development in East Azerbaijan Province, Iran, and delineated areas with different levels of relative environmental suitability for strategic screening of future mining development.</w:t>
      </w:r>
    </w:p>
    <w:p w14:paraId="22205F4E" w14:textId="77777777" w:rsidR="000F7083" w:rsidRPr="00252C48" w:rsidRDefault="000F7083" w:rsidP="00252C48">
      <w:pPr>
        <w:bidi w:val="0"/>
        <w:spacing w:beforeAutospacing="1" w:afterAutospacing="1" w:line="216" w:lineRule="auto"/>
        <w:ind w:firstLine="0"/>
        <w:rPr>
          <w:rFonts w:eastAsia="Times New Roman" w:cs="Times New Roman"/>
          <w:color w:val="auto"/>
          <w:szCs w:val="22"/>
          <w:lang w:val="en" w:bidi="fa-IR"/>
        </w:rPr>
      </w:pPr>
      <w:r w:rsidRPr="00252C48">
        <w:rPr>
          <w:b/>
          <w:szCs w:val="22"/>
        </w:rPr>
        <w:t>Materials and Methods:</w:t>
      </w:r>
      <w:r w:rsidRPr="00252C48">
        <w:rPr>
          <w:szCs w:val="22"/>
        </w:rPr>
        <w:t xml:space="preserve"> An integrated SEA–GIS–AHP framework was applied to a 6,463.89-ha planning area encompassing the Sungun Copper Mine and surrounding areas in Varzegan County. Spatial data were processed in ArcGIS Pro using WGS 1984 UTM Zone 38N (EPSG:32638) and a 30 × 30 m final analysis cell. Seven criteria were evaluated: distance from water resources, watercourses, residential settlements, roads, and protected areas; slope; and land use/vegetation cover. Criteria were standardized on a five-point suitability scale according to environmental sensitivity and direction of effect. Euclidean Distance was used for distance criteria, slope was derived from the digital elevation model, and land-use/vegetation data were converted from polygon to raster. Spatial datasets were obtained primarily from the East Azerbaijan Provincial Department of Environment; because the production year of some supplied Shapefiles was not documented, no unsupported date was assigned. Criterion weights were determined by AHP pairwise comparisons based on expert judgment from 16 multidisciplinary experts with 10–23 years of experience. The consistency ratio was 0.08. Weighted Overlay produced a continuous Environmental Suitability Index and five relative suitability classes.</w:t>
      </w:r>
    </w:p>
    <w:p w14:paraId="4EF4F1AD" w14:textId="77777777" w:rsidR="000F7083" w:rsidRPr="00252C48" w:rsidRDefault="000F7083" w:rsidP="00252C48">
      <w:pPr>
        <w:bidi w:val="0"/>
        <w:spacing w:beforeAutospacing="1" w:afterAutospacing="1" w:line="216" w:lineRule="auto"/>
        <w:ind w:firstLine="0"/>
        <w:rPr>
          <w:rFonts w:eastAsia="Times New Roman" w:cs="Times New Roman"/>
          <w:color w:val="auto"/>
          <w:szCs w:val="22"/>
          <w:lang w:val="en" w:bidi="fa-IR"/>
        </w:rPr>
      </w:pPr>
      <w:r w:rsidRPr="00252C48">
        <w:rPr>
          <w:b/>
          <w:szCs w:val="22"/>
        </w:rPr>
        <w:t>Results:</w:t>
      </w:r>
      <w:r w:rsidRPr="00252C48">
        <w:rPr>
          <w:szCs w:val="22"/>
        </w:rPr>
        <w:t xml:space="preserve"> Distance from water resources received the highest relative weight (0.243), followed by land use/vegetation cover (0.189) and watercourses (0.147). The weights of settlements, roads, slope, and protected areas were 0.124, 0.106, 0.098, and 0.093, respectively. Very unsuitable, unsuitable, moderate, suitable, and very suitable areas accounted for 21.60%, 28.73%, 28.00%, 10.06%, and 11.61% of the study area, respectively. Overall, 50.33% was unsuitable or very unsuitable, while 21.67% was suitable or very suitable. The results demonstrate substantial spatial heterogeneity and indicate that relative suitability reflects the combined spatial pattern and weighting of multiple environmental and human-related constraints.</w:t>
      </w:r>
    </w:p>
    <w:p w14:paraId="25E8587C" w14:textId="77777777" w:rsidR="000F7083" w:rsidRPr="00252C48" w:rsidRDefault="000F7083" w:rsidP="00252C48">
      <w:pPr>
        <w:bidi w:val="0"/>
        <w:spacing w:beforeAutospacing="1" w:afterAutospacing="1" w:line="216" w:lineRule="auto"/>
        <w:ind w:firstLine="0"/>
        <w:rPr>
          <w:rFonts w:eastAsia="Times New Roman" w:cs="Times New Roman"/>
          <w:color w:val="auto"/>
          <w:szCs w:val="22"/>
          <w:lang w:val="en" w:bidi="fa-IR"/>
        </w:rPr>
      </w:pPr>
      <w:r w:rsidRPr="00252C48">
        <w:rPr>
          <w:b/>
          <w:szCs w:val="22"/>
        </w:rPr>
        <w:lastRenderedPageBreak/>
        <w:t>Conclusion:</w:t>
      </w:r>
      <w:r w:rsidRPr="00252C48">
        <w:rPr>
          <w:szCs w:val="22"/>
        </w:rPr>
        <w:t xml:space="preserve"> The findings emphasize the importance of water resources and watercourses, sensitive land uses and vegetation, settlements, and protected areas in strategic planning for future </w:t>
      </w:r>
      <w:proofErr w:type="gramStart"/>
      <w:r w:rsidRPr="00252C48">
        <w:rPr>
          <w:szCs w:val="22"/>
        </w:rPr>
        <w:t>mine</w:t>
      </w:r>
      <w:proofErr w:type="gramEnd"/>
      <w:r w:rsidRPr="00252C48">
        <w:rPr>
          <w:szCs w:val="22"/>
        </w:rPr>
        <w:t xml:space="preserve"> development. The map is a relative spatial screening and decision-support product, not an environmental permit or definitive carrying-capacity assessment. Suitable areas require subsequent hydrogeological, geotechnical, environmental, risk, HSE, and legal assessments. The framework provides a transparent basis for early strategic screening and can be adapted to other copper mines in East Azerbaijan by recalibrating criteria, weights, spatial scale, and baseline data.</w:t>
      </w:r>
    </w:p>
    <w:p w14:paraId="10F1AB11" w14:textId="77777777" w:rsidR="000F7083" w:rsidRPr="00252C48" w:rsidRDefault="000F7083" w:rsidP="00252C48">
      <w:pPr>
        <w:bidi w:val="0"/>
        <w:spacing w:beforeAutospacing="1" w:after="20" w:afterAutospacing="1"/>
        <w:ind w:firstLine="0"/>
        <w:rPr>
          <w:rFonts w:eastAsia="Times New Roman" w:cs="Times New Roman"/>
          <w:color w:val="auto"/>
          <w:sz w:val="32"/>
          <w:szCs w:val="32"/>
          <w:lang w:val="en" w:bidi="fa-IR"/>
        </w:rPr>
      </w:pPr>
      <w:r w:rsidRPr="00252C48">
        <w:rPr>
          <w:b/>
          <w:szCs w:val="36"/>
        </w:rPr>
        <w:t>Keywords:</w:t>
      </w:r>
      <w:r w:rsidRPr="00252C48">
        <w:rPr>
          <w:szCs w:val="36"/>
        </w:rPr>
        <w:t xml:space="preserve"> Strategic Environmental Assessment; Sungun Copper Mine; Geographic Information System; Analytic Hierarchy Process; Environmental Suitability; Spatial Planning</w:t>
      </w:r>
    </w:p>
    <w:p w14:paraId="223C6B04" w14:textId="77777777" w:rsidR="00F06176" w:rsidRDefault="00F06176" w:rsidP="00F06176">
      <w:pPr>
        <w:spacing w:after="40"/>
        <w:rPr>
          <w:sz w:val="18"/>
          <w:szCs w:val="22"/>
          <w:rtl/>
        </w:rPr>
      </w:pPr>
      <w:r w:rsidRPr="009562CB">
        <w:rPr>
          <w:rStyle w:val="Strong"/>
          <w:rFonts w:eastAsiaTheme="majorEastAsia" w:cs="B Titr"/>
          <w:b w:val="0"/>
          <w:bCs w:val="0"/>
          <w:sz w:val="28"/>
          <w:szCs w:val="28"/>
          <w:rtl/>
        </w:rPr>
        <w:t>ارز</w:t>
      </w:r>
      <w:r w:rsidRPr="009562CB">
        <w:rPr>
          <w:rStyle w:val="Strong"/>
          <w:rFonts w:eastAsiaTheme="majorEastAsia" w:cs="B Titr" w:hint="cs"/>
          <w:b w:val="0"/>
          <w:bCs w:val="0"/>
          <w:sz w:val="28"/>
          <w:szCs w:val="28"/>
          <w:rtl/>
        </w:rPr>
        <w:t>ی</w:t>
      </w:r>
      <w:r w:rsidRPr="009562CB">
        <w:rPr>
          <w:rStyle w:val="Strong"/>
          <w:rFonts w:eastAsiaTheme="majorEastAsia" w:cs="B Titr" w:hint="eastAsia"/>
          <w:b w:val="0"/>
          <w:bCs w:val="0"/>
          <w:sz w:val="28"/>
          <w:szCs w:val="28"/>
          <w:rtl/>
        </w:rPr>
        <w:t>اب</w:t>
      </w:r>
      <w:r w:rsidRPr="009562CB">
        <w:rPr>
          <w:rStyle w:val="Strong"/>
          <w:rFonts w:eastAsiaTheme="majorEastAsia" w:cs="B Titr" w:hint="cs"/>
          <w:b w:val="0"/>
          <w:bCs w:val="0"/>
          <w:sz w:val="28"/>
          <w:szCs w:val="28"/>
          <w:rtl/>
        </w:rPr>
        <w:t>ی</w:t>
      </w:r>
      <w:r w:rsidRPr="009562CB">
        <w:rPr>
          <w:rStyle w:val="Strong"/>
          <w:rFonts w:eastAsiaTheme="majorEastAsia" w:cs="B Titr"/>
          <w:b w:val="0"/>
          <w:bCs w:val="0"/>
          <w:sz w:val="28"/>
          <w:szCs w:val="28"/>
          <w:rtl/>
        </w:rPr>
        <w:t xml:space="preserve"> راهبرد</w:t>
      </w:r>
      <w:r w:rsidRPr="009562CB">
        <w:rPr>
          <w:rStyle w:val="Strong"/>
          <w:rFonts w:eastAsiaTheme="majorEastAsia" w:cs="B Titr" w:hint="cs"/>
          <w:b w:val="0"/>
          <w:bCs w:val="0"/>
          <w:sz w:val="28"/>
          <w:szCs w:val="28"/>
          <w:rtl/>
        </w:rPr>
        <w:t>ی</w:t>
      </w:r>
      <w:r w:rsidRPr="009562CB">
        <w:rPr>
          <w:rStyle w:val="Strong"/>
          <w:rFonts w:eastAsiaTheme="majorEastAsia" w:cs="B Titr"/>
          <w:b w:val="0"/>
          <w:bCs w:val="0"/>
          <w:sz w:val="28"/>
          <w:szCs w:val="28"/>
          <w:rtl/>
        </w:rPr>
        <w:t xml:space="preserve"> </w:t>
      </w:r>
      <w:r>
        <w:rPr>
          <w:rStyle w:val="Strong"/>
          <w:rFonts w:eastAsiaTheme="majorEastAsia" w:cs="B Titr"/>
          <w:b w:val="0"/>
          <w:bCs w:val="0"/>
          <w:sz w:val="28"/>
          <w:szCs w:val="28"/>
          <w:rtl/>
        </w:rPr>
        <w:t>محیط‌زیست</w:t>
      </w:r>
      <w:r w:rsidRPr="009562CB">
        <w:rPr>
          <w:rStyle w:val="Strong"/>
          <w:rFonts w:eastAsiaTheme="majorEastAsia" w:cs="B Titr"/>
          <w:b w:val="0"/>
          <w:bCs w:val="0"/>
          <w:sz w:val="28"/>
          <w:szCs w:val="28"/>
          <w:rtl/>
        </w:rPr>
        <w:t xml:space="preserve"> توسعه معدن مس سونگون با استفاده از سامانه اطلاعات جغراف</w:t>
      </w:r>
      <w:r w:rsidRPr="009562CB">
        <w:rPr>
          <w:rStyle w:val="Strong"/>
          <w:rFonts w:eastAsiaTheme="majorEastAsia" w:cs="B Titr" w:hint="cs"/>
          <w:b w:val="0"/>
          <w:bCs w:val="0"/>
          <w:sz w:val="28"/>
          <w:szCs w:val="28"/>
          <w:rtl/>
        </w:rPr>
        <w:t>ی</w:t>
      </w:r>
      <w:r w:rsidRPr="009562CB">
        <w:rPr>
          <w:rStyle w:val="Strong"/>
          <w:rFonts w:eastAsiaTheme="majorEastAsia" w:cs="B Titr" w:hint="eastAsia"/>
          <w:b w:val="0"/>
          <w:bCs w:val="0"/>
          <w:sz w:val="28"/>
          <w:szCs w:val="28"/>
          <w:rtl/>
        </w:rPr>
        <w:t>ا</w:t>
      </w:r>
      <w:r w:rsidRPr="009562CB">
        <w:rPr>
          <w:rStyle w:val="Strong"/>
          <w:rFonts w:eastAsiaTheme="majorEastAsia" w:cs="B Titr" w:hint="cs"/>
          <w:b w:val="0"/>
          <w:bCs w:val="0"/>
          <w:sz w:val="28"/>
          <w:szCs w:val="28"/>
          <w:rtl/>
        </w:rPr>
        <w:t>یی</w:t>
      </w:r>
      <w:r w:rsidRPr="009562CB">
        <w:rPr>
          <w:rStyle w:val="Strong"/>
          <w:rFonts w:eastAsiaTheme="majorEastAsia" w:cs="B Titr"/>
          <w:b w:val="0"/>
          <w:bCs w:val="0"/>
          <w:sz w:val="28"/>
          <w:szCs w:val="28"/>
          <w:rtl/>
        </w:rPr>
        <w:t xml:space="preserve"> و فرآ</w:t>
      </w:r>
      <w:r w:rsidRPr="009562CB">
        <w:rPr>
          <w:rStyle w:val="Strong"/>
          <w:rFonts w:eastAsiaTheme="majorEastAsia" w:cs="B Titr" w:hint="cs"/>
          <w:b w:val="0"/>
          <w:bCs w:val="0"/>
          <w:sz w:val="28"/>
          <w:szCs w:val="28"/>
          <w:rtl/>
        </w:rPr>
        <w:t>ی</w:t>
      </w:r>
      <w:r w:rsidRPr="009562CB">
        <w:rPr>
          <w:rStyle w:val="Strong"/>
          <w:rFonts w:eastAsiaTheme="majorEastAsia" w:cs="B Titr" w:hint="eastAsia"/>
          <w:b w:val="0"/>
          <w:bCs w:val="0"/>
          <w:sz w:val="28"/>
          <w:szCs w:val="28"/>
          <w:rtl/>
        </w:rPr>
        <w:t>ند</w:t>
      </w:r>
      <w:r w:rsidRPr="009562CB">
        <w:rPr>
          <w:rStyle w:val="Strong"/>
          <w:rFonts w:eastAsiaTheme="majorEastAsia" w:cs="B Titr"/>
          <w:b w:val="0"/>
          <w:bCs w:val="0"/>
          <w:sz w:val="28"/>
          <w:szCs w:val="28"/>
          <w:rtl/>
        </w:rPr>
        <w:t xml:space="preserve"> تحل</w:t>
      </w:r>
      <w:r w:rsidRPr="009562CB">
        <w:rPr>
          <w:rStyle w:val="Strong"/>
          <w:rFonts w:eastAsiaTheme="majorEastAsia" w:cs="B Titr" w:hint="cs"/>
          <w:b w:val="0"/>
          <w:bCs w:val="0"/>
          <w:sz w:val="28"/>
          <w:szCs w:val="28"/>
          <w:rtl/>
        </w:rPr>
        <w:t>ی</w:t>
      </w:r>
      <w:r w:rsidRPr="009562CB">
        <w:rPr>
          <w:rStyle w:val="Strong"/>
          <w:rFonts w:eastAsiaTheme="majorEastAsia" w:cs="B Titr" w:hint="eastAsia"/>
          <w:b w:val="0"/>
          <w:bCs w:val="0"/>
          <w:sz w:val="28"/>
          <w:szCs w:val="28"/>
          <w:rtl/>
        </w:rPr>
        <w:t>ل</w:t>
      </w:r>
      <w:r w:rsidRPr="009562CB">
        <w:rPr>
          <w:rStyle w:val="Strong"/>
          <w:rFonts w:eastAsiaTheme="majorEastAsia" w:cs="B Titr"/>
          <w:b w:val="0"/>
          <w:bCs w:val="0"/>
          <w:sz w:val="28"/>
          <w:szCs w:val="28"/>
          <w:rtl/>
        </w:rPr>
        <w:t xml:space="preserve"> </w:t>
      </w:r>
      <w:r>
        <w:rPr>
          <w:rStyle w:val="Strong"/>
          <w:rFonts w:eastAsiaTheme="majorEastAsia" w:cs="B Titr"/>
          <w:b w:val="0"/>
          <w:bCs w:val="0"/>
          <w:sz w:val="28"/>
          <w:szCs w:val="28"/>
          <w:rtl/>
        </w:rPr>
        <w:t>سلسله‌مراتبی</w:t>
      </w:r>
    </w:p>
    <w:p w14:paraId="02E24901" w14:textId="77777777" w:rsidR="00F06176" w:rsidRPr="00F347D1" w:rsidRDefault="00F06176" w:rsidP="00F06176">
      <w:pPr>
        <w:spacing w:after="40"/>
        <w:rPr>
          <w:sz w:val="18"/>
          <w:szCs w:val="22"/>
          <w:rtl/>
          <w:lang w:bidi="fa-IR"/>
        </w:rPr>
      </w:pPr>
      <w:r w:rsidRPr="00F347D1">
        <w:rPr>
          <w:rFonts w:hint="cs"/>
          <w:sz w:val="18"/>
          <w:szCs w:val="22"/>
          <w:rtl/>
          <w:lang w:bidi="fa-IR"/>
        </w:rPr>
        <w:t>ی</w:t>
      </w:r>
      <w:r w:rsidRPr="00F347D1">
        <w:rPr>
          <w:rFonts w:hint="eastAsia"/>
          <w:sz w:val="18"/>
          <w:szCs w:val="22"/>
          <w:rtl/>
          <w:lang w:bidi="fa-IR"/>
        </w:rPr>
        <w:t>ح</w:t>
      </w:r>
      <w:r w:rsidRPr="00F347D1">
        <w:rPr>
          <w:rFonts w:hint="cs"/>
          <w:sz w:val="18"/>
          <w:szCs w:val="22"/>
          <w:rtl/>
          <w:lang w:bidi="fa-IR"/>
        </w:rPr>
        <w:t>یی</w:t>
      </w:r>
      <w:r w:rsidRPr="00F347D1">
        <w:rPr>
          <w:sz w:val="18"/>
          <w:szCs w:val="22"/>
          <w:rtl/>
          <w:lang w:bidi="fa-IR"/>
        </w:rPr>
        <w:t xml:space="preserve"> جبار</w:t>
      </w:r>
      <w:r w:rsidRPr="00F347D1">
        <w:rPr>
          <w:rFonts w:hint="cs"/>
          <w:sz w:val="18"/>
          <w:szCs w:val="22"/>
          <w:rtl/>
          <w:lang w:bidi="fa-IR"/>
        </w:rPr>
        <w:t>ی</w:t>
      </w:r>
      <w:r w:rsidRPr="00D04E78">
        <w:rPr>
          <w:rFonts w:hint="cs"/>
          <w:sz w:val="18"/>
          <w:szCs w:val="22"/>
          <w:vertAlign w:val="superscript"/>
          <w:rtl/>
          <w:lang w:bidi="fa-IR"/>
        </w:rPr>
        <w:t>1</w:t>
      </w:r>
      <w:r w:rsidRPr="00F347D1">
        <w:rPr>
          <w:rFonts w:hint="cs"/>
          <w:sz w:val="18"/>
          <w:szCs w:val="22"/>
          <w:rtl/>
          <w:lang w:bidi="fa-IR"/>
        </w:rPr>
        <w:t xml:space="preserve">، </w:t>
      </w:r>
      <w:r w:rsidRPr="00F347D1">
        <w:rPr>
          <w:rFonts w:hint="eastAsia"/>
          <w:sz w:val="18"/>
          <w:szCs w:val="22"/>
          <w:rtl/>
          <w:lang w:bidi="fa-IR"/>
        </w:rPr>
        <w:t>محمد</w:t>
      </w:r>
      <w:r w:rsidRPr="00F347D1">
        <w:rPr>
          <w:sz w:val="18"/>
          <w:szCs w:val="22"/>
          <w:rtl/>
          <w:lang w:bidi="fa-IR"/>
        </w:rPr>
        <w:t xml:space="preserve"> ابراه</w:t>
      </w:r>
      <w:r w:rsidRPr="00F347D1">
        <w:rPr>
          <w:rFonts w:hint="cs"/>
          <w:sz w:val="18"/>
          <w:szCs w:val="22"/>
          <w:rtl/>
          <w:lang w:bidi="fa-IR"/>
        </w:rPr>
        <w:t>ی</w:t>
      </w:r>
      <w:r w:rsidRPr="00F347D1">
        <w:rPr>
          <w:rFonts w:hint="eastAsia"/>
          <w:sz w:val="18"/>
          <w:szCs w:val="22"/>
          <w:rtl/>
          <w:lang w:bidi="fa-IR"/>
        </w:rPr>
        <w:t>م</w:t>
      </w:r>
      <w:r w:rsidRPr="00F347D1">
        <w:rPr>
          <w:sz w:val="18"/>
          <w:szCs w:val="22"/>
          <w:rtl/>
          <w:lang w:bidi="fa-IR"/>
        </w:rPr>
        <w:t xml:space="preserve"> رمضان</w:t>
      </w:r>
      <w:r w:rsidRPr="00F347D1">
        <w:rPr>
          <w:rFonts w:hint="cs"/>
          <w:sz w:val="18"/>
          <w:szCs w:val="22"/>
          <w:rtl/>
          <w:lang w:bidi="fa-IR"/>
        </w:rPr>
        <w:t>ی</w:t>
      </w:r>
      <w:r w:rsidRPr="00D04E78">
        <w:rPr>
          <w:rFonts w:hint="cs"/>
          <w:sz w:val="18"/>
          <w:szCs w:val="22"/>
          <w:vertAlign w:val="superscript"/>
          <w:rtl/>
          <w:lang w:bidi="fa-IR"/>
        </w:rPr>
        <w:t>2</w:t>
      </w:r>
      <w:r w:rsidRPr="00F347D1">
        <w:rPr>
          <w:sz w:val="18"/>
          <w:szCs w:val="22"/>
          <w:rtl/>
          <w:lang w:bidi="fa-IR"/>
        </w:rPr>
        <w:t>*</w:t>
      </w:r>
      <w:r w:rsidRPr="00F347D1">
        <w:rPr>
          <w:rFonts w:hint="cs"/>
          <w:sz w:val="18"/>
          <w:szCs w:val="22"/>
          <w:rtl/>
          <w:lang w:bidi="fa-IR"/>
        </w:rPr>
        <w:t xml:space="preserve">، </w:t>
      </w:r>
      <w:r w:rsidRPr="00F347D1">
        <w:rPr>
          <w:rFonts w:hint="eastAsia"/>
          <w:sz w:val="18"/>
          <w:szCs w:val="22"/>
          <w:rtl/>
          <w:lang w:bidi="fa-IR"/>
        </w:rPr>
        <w:t>محمد</w:t>
      </w:r>
      <w:r w:rsidRPr="00F347D1">
        <w:rPr>
          <w:sz w:val="18"/>
          <w:szCs w:val="22"/>
          <w:rtl/>
          <w:lang w:bidi="fa-IR"/>
        </w:rPr>
        <w:t xml:space="preserve"> م</w:t>
      </w:r>
      <w:r w:rsidRPr="00F347D1">
        <w:rPr>
          <w:rFonts w:hint="cs"/>
          <w:sz w:val="18"/>
          <w:szCs w:val="22"/>
          <w:rtl/>
          <w:lang w:bidi="fa-IR"/>
        </w:rPr>
        <w:t>سا</w:t>
      </w:r>
      <w:r w:rsidRPr="00F347D1">
        <w:rPr>
          <w:sz w:val="18"/>
          <w:szCs w:val="22"/>
          <w:rtl/>
          <w:lang w:bidi="fa-IR"/>
        </w:rPr>
        <w:t>فر</w:t>
      </w:r>
      <w:r w:rsidRPr="00F347D1">
        <w:rPr>
          <w:rFonts w:hint="cs"/>
          <w:sz w:val="18"/>
          <w:szCs w:val="22"/>
          <w:rtl/>
          <w:lang w:bidi="fa-IR"/>
        </w:rPr>
        <w:t>ی</w:t>
      </w:r>
      <w:r w:rsidRPr="00D04E78">
        <w:rPr>
          <w:rFonts w:hint="cs"/>
          <w:sz w:val="18"/>
          <w:szCs w:val="22"/>
          <w:vertAlign w:val="superscript"/>
          <w:rtl/>
          <w:lang w:bidi="fa-IR"/>
        </w:rPr>
        <w:t>3</w:t>
      </w:r>
      <w:r w:rsidRPr="00F347D1">
        <w:rPr>
          <w:rFonts w:hint="cs"/>
          <w:sz w:val="18"/>
          <w:szCs w:val="22"/>
          <w:rtl/>
          <w:lang w:bidi="fa-IR"/>
        </w:rPr>
        <w:t xml:space="preserve">، </w:t>
      </w:r>
      <w:r w:rsidRPr="00F347D1">
        <w:rPr>
          <w:rFonts w:hint="eastAsia"/>
          <w:sz w:val="18"/>
          <w:szCs w:val="22"/>
          <w:rtl/>
          <w:lang w:bidi="fa-IR"/>
        </w:rPr>
        <w:t>ام</w:t>
      </w:r>
      <w:r w:rsidRPr="00F347D1">
        <w:rPr>
          <w:rFonts w:hint="cs"/>
          <w:sz w:val="18"/>
          <w:szCs w:val="22"/>
          <w:rtl/>
          <w:lang w:bidi="fa-IR"/>
        </w:rPr>
        <w:t>ی</w:t>
      </w:r>
      <w:r w:rsidRPr="00F347D1">
        <w:rPr>
          <w:rFonts w:hint="eastAsia"/>
          <w:sz w:val="18"/>
          <w:szCs w:val="22"/>
          <w:rtl/>
          <w:lang w:bidi="fa-IR"/>
        </w:rPr>
        <w:t>د</w:t>
      </w:r>
      <w:r w:rsidRPr="00F347D1">
        <w:rPr>
          <w:sz w:val="18"/>
          <w:szCs w:val="22"/>
          <w:rtl/>
          <w:lang w:bidi="fa-IR"/>
        </w:rPr>
        <w:t xml:space="preserve"> رف</w:t>
      </w:r>
      <w:r w:rsidRPr="00F347D1">
        <w:rPr>
          <w:rFonts w:hint="cs"/>
          <w:sz w:val="18"/>
          <w:szCs w:val="22"/>
          <w:rtl/>
          <w:lang w:bidi="fa-IR"/>
        </w:rPr>
        <w:t>ی</w:t>
      </w:r>
      <w:r w:rsidRPr="00F347D1">
        <w:rPr>
          <w:rFonts w:hint="eastAsia"/>
          <w:sz w:val="18"/>
          <w:szCs w:val="22"/>
          <w:rtl/>
          <w:lang w:bidi="fa-IR"/>
        </w:rPr>
        <w:t>ع</w:t>
      </w:r>
      <w:r w:rsidRPr="00F347D1">
        <w:rPr>
          <w:rFonts w:hint="cs"/>
          <w:sz w:val="18"/>
          <w:szCs w:val="22"/>
          <w:rtl/>
          <w:lang w:bidi="fa-IR"/>
        </w:rPr>
        <w:t>ی</w:t>
      </w:r>
      <w:r w:rsidRPr="00F347D1">
        <w:rPr>
          <w:rFonts w:hint="eastAsia"/>
          <w:sz w:val="18"/>
          <w:szCs w:val="22"/>
          <w:rtl/>
          <w:lang w:bidi="fa-IR"/>
        </w:rPr>
        <w:t>ان</w:t>
      </w:r>
      <w:r w:rsidRPr="00D04E78">
        <w:rPr>
          <w:rFonts w:ascii="Sakkal Majalla" w:hAnsi="Sakkal Majalla" w:cs="Sakkal Majalla" w:hint="cs"/>
          <w:sz w:val="18"/>
          <w:szCs w:val="22"/>
          <w:vertAlign w:val="superscript"/>
          <w:rtl/>
          <w:lang w:bidi="fa-IR"/>
        </w:rPr>
        <w:t>4</w:t>
      </w:r>
      <w:r w:rsidRPr="00F347D1">
        <w:rPr>
          <w:rFonts w:hint="cs"/>
          <w:sz w:val="18"/>
          <w:szCs w:val="22"/>
          <w:rtl/>
          <w:lang w:bidi="fa-IR"/>
        </w:rPr>
        <w:t xml:space="preserve"> </w:t>
      </w:r>
      <w:r w:rsidRPr="00F347D1">
        <w:rPr>
          <w:rFonts w:hint="eastAsia"/>
          <w:sz w:val="18"/>
          <w:szCs w:val="22"/>
          <w:rtl/>
          <w:lang w:bidi="fa-IR"/>
        </w:rPr>
        <w:t>محمد</w:t>
      </w:r>
      <w:r w:rsidRPr="00F347D1">
        <w:rPr>
          <w:sz w:val="18"/>
          <w:szCs w:val="22"/>
          <w:rtl/>
          <w:lang w:bidi="fa-IR"/>
        </w:rPr>
        <w:t xml:space="preserve"> قنبر</w:t>
      </w:r>
      <w:r w:rsidRPr="00F347D1">
        <w:rPr>
          <w:rFonts w:hint="cs"/>
          <w:sz w:val="18"/>
          <w:szCs w:val="22"/>
          <w:rtl/>
          <w:lang w:bidi="fa-IR"/>
        </w:rPr>
        <w:t>ی</w:t>
      </w:r>
      <w:r w:rsidRPr="00D04E78">
        <w:rPr>
          <w:rFonts w:ascii="Arial" w:hAnsi="Arial" w:cs="Arial" w:hint="cs"/>
          <w:sz w:val="18"/>
          <w:szCs w:val="22"/>
          <w:vertAlign w:val="superscript"/>
          <w:rtl/>
          <w:lang w:bidi="fa-IR"/>
        </w:rPr>
        <w:t>5</w:t>
      </w:r>
    </w:p>
    <w:p w14:paraId="3E1768F4" w14:textId="77777777" w:rsidR="00F06176" w:rsidRPr="00F347D1" w:rsidRDefault="00F06176" w:rsidP="00F06176">
      <w:pPr>
        <w:spacing w:after="40"/>
        <w:rPr>
          <w:sz w:val="18"/>
          <w:szCs w:val="22"/>
          <w:rtl/>
          <w:lang w:bidi="fa-IR"/>
        </w:rPr>
      </w:pPr>
      <w:r w:rsidRPr="00D04E78">
        <w:rPr>
          <w:rFonts w:hint="cs"/>
          <w:sz w:val="18"/>
          <w:szCs w:val="22"/>
          <w:vertAlign w:val="superscript"/>
          <w:rtl/>
          <w:lang w:bidi="fa-IR"/>
        </w:rPr>
        <w:t>1</w:t>
      </w:r>
      <w:r w:rsidRPr="00F347D1">
        <w:rPr>
          <w:rFonts w:hint="eastAsia"/>
          <w:sz w:val="18"/>
          <w:szCs w:val="22"/>
          <w:rtl/>
          <w:lang w:bidi="fa-IR"/>
        </w:rPr>
        <w:t>دانشجو</w:t>
      </w:r>
      <w:r w:rsidRPr="00F347D1">
        <w:rPr>
          <w:rFonts w:hint="cs"/>
          <w:sz w:val="18"/>
          <w:szCs w:val="22"/>
          <w:rtl/>
          <w:lang w:bidi="fa-IR"/>
        </w:rPr>
        <w:t>ی</w:t>
      </w:r>
      <w:r w:rsidRPr="00F347D1">
        <w:rPr>
          <w:sz w:val="18"/>
          <w:szCs w:val="22"/>
          <w:rtl/>
          <w:lang w:bidi="fa-IR"/>
        </w:rPr>
        <w:t xml:space="preserve"> دکتر</w:t>
      </w:r>
      <w:r w:rsidRPr="00F347D1">
        <w:rPr>
          <w:rFonts w:hint="cs"/>
          <w:sz w:val="18"/>
          <w:szCs w:val="22"/>
          <w:rtl/>
          <w:lang w:bidi="fa-IR"/>
        </w:rPr>
        <w:t>ی</w:t>
      </w:r>
      <w:r w:rsidRPr="00F347D1">
        <w:rPr>
          <w:sz w:val="18"/>
          <w:szCs w:val="22"/>
          <w:rtl/>
          <w:lang w:bidi="fa-IR"/>
        </w:rPr>
        <w:t xml:space="preserve"> علوم و مهندس</w:t>
      </w:r>
      <w:r w:rsidRPr="00F347D1">
        <w:rPr>
          <w:rFonts w:hint="cs"/>
          <w:sz w:val="18"/>
          <w:szCs w:val="22"/>
          <w:rtl/>
          <w:lang w:bidi="fa-IR"/>
        </w:rPr>
        <w:t>ی</w:t>
      </w:r>
      <w:r w:rsidRPr="00F347D1">
        <w:rPr>
          <w:sz w:val="18"/>
          <w:szCs w:val="22"/>
          <w:rtl/>
          <w:lang w:bidi="fa-IR"/>
        </w:rPr>
        <w:t xml:space="preserve"> </w:t>
      </w:r>
      <w:r>
        <w:rPr>
          <w:sz w:val="18"/>
          <w:szCs w:val="22"/>
          <w:rtl/>
          <w:lang w:bidi="fa-IR"/>
        </w:rPr>
        <w:t>محیط‌زیست</w:t>
      </w:r>
      <w:r w:rsidRPr="00F347D1">
        <w:rPr>
          <w:rFonts w:hint="eastAsia"/>
          <w:sz w:val="18"/>
          <w:szCs w:val="22"/>
          <w:rtl/>
          <w:lang w:bidi="fa-IR"/>
        </w:rPr>
        <w:t>،</w:t>
      </w:r>
      <w:r w:rsidRPr="00F347D1">
        <w:rPr>
          <w:sz w:val="18"/>
          <w:szCs w:val="22"/>
          <w:rtl/>
          <w:lang w:bidi="fa-IR"/>
        </w:rPr>
        <w:t xml:space="preserve"> گروه علوم و مهندس</w:t>
      </w:r>
      <w:r w:rsidRPr="00F347D1">
        <w:rPr>
          <w:rFonts w:hint="cs"/>
          <w:sz w:val="18"/>
          <w:szCs w:val="22"/>
          <w:rtl/>
          <w:lang w:bidi="fa-IR"/>
        </w:rPr>
        <w:t>ی</w:t>
      </w:r>
      <w:r w:rsidRPr="00F347D1">
        <w:rPr>
          <w:sz w:val="18"/>
          <w:szCs w:val="22"/>
          <w:rtl/>
          <w:lang w:bidi="fa-IR"/>
        </w:rPr>
        <w:t xml:space="preserve"> </w:t>
      </w:r>
      <w:r>
        <w:rPr>
          <w:sz w:val="18"/>
          <w:szCs w:val="22"/>
          <w:rtl/>
          <w:lang w:bidi="fa-IR"/>
        </w:rPr>
        <w:t>محیط‌زیست</w:t>
      </w:r>
      <w:r w:rsidRPr="00F347D1">
        <w:rPr>
          <w:rFonts w:hint="eastAsia"/>
          <w:sz w:val="18"/>
          <w:szCs w:val="22"/>
          <w:rtl/>
          <w:lang w:bidi="fa-IR"/>
        </w:rPr>
        <w:t>،</w:t>
      </w:r>
      <w:r w:rsidRPr="00F347D1">
        <w:rPr>
          <w:sz w:val="18"/>
          <w:szCs w:val="22"/>
          <w:rtl/>
          <w:lang w:bidi="fa-IR"/>
        </w:rPr>
        <w:t xml:space="preserve"> واحد تبر</w:t>
      </w:r>
      <w:r w:rsidRPr="00F347D1">
        <w:rPr>
          <w:rFonts w:hint="cs"/>
          <w:sz w:val="18"/>
          <w:szCs w:val="22"/>
          <w:rtl/>
          <w:lang w:bidi="fa-IR"/>
        </w:rPr>
        <w:t>ی</w:t>
      </w:r>
      <w:r w:rsidRPr="00F347D1">
        <w:rPr>
          <w:rFonts w:hint="eastAsia"/>
          <w:sz w:val="18"/>
          <w:szCs w:val="22"/>
          <w:rtl/>
          <w:lang w:bidi="fa-IR"/>
        </w:rPr>
        <w:t>ز،</w:t>
      </w:r>
      <w:r w:rsidRPr="00F347D1">
        <w:rPr>
          <w:sz w:val="18"/>
          <w:szCs w:val="22"/>
          <w:rtl/>
          <w:lang w:bidi="fa-IR"/>
        </w:rPr>
        <w:t xml:space="preserve"> دانشگاه آزاد اسلام</w:t>
      </w:r>
      <w:r w:rsidRPr="00F347D1">
        <w:rPr>
          <w:rFonts w:hint="cs"/>
          <w:sz w:val="18"/>
          <w:szCs w:val="22"/>
          <w:rtl/>
          <w:lang w:bidi="fa-IR"/>
        </w:rPr>
        <w:t>ی</w:t>
      </w:r>
      <w:r w:rsidRPr="00F347D1">
        <w:rPr>
          <w:rFonts w:hint="eastAsia"/>
          <w:sz w:val="18"/>
          <w:szCs w:val="22"/>
          <w:rtl/>
          <w:lang w:bidi="fa-IR"/>
        </w:rPr>
        <w:t>،</w:t>
      </w:r>
      <w:r w:rsidRPr="00F347D1">
        <w:rPr>
          <w:sz w:val="18"/>
          <w:szCs w:val="22"/>
          <w:rtl/>
          <w:lang w:bidi="fa-IR"/>
        </w:rPr>
        <w:t xml:space="preserve"> تبر</w:t>
      </w:r>
      <w:r w:rsidRPr="00F347D1">
        <w:rPr>
          <w:rFonts w:hint="cs"/>
          <w:sz w:val="18"/>
          <w:szCs w:val="22"/>
          <w:rtl/>
          <w:lang w:bidi="fa-IR"/>
        </w:rPr>
        <w:t>ی</w:t>
      </w:r>
      <w:r w:rsidRPr="00F347D1">
        <w:rPr>
          <w:rFonts w:hint="eastAsia"/>
          <w:sz w:val="18"/>
          <w:szCs w:val="22"/>
          <w:rtl/>
          <w:lang w:bidi="fa-IR"/>
        </w:rPr>
        <w:t>ز،</w:t>
      </w:r>
      <w:r w:rsidRPr="00F347D1">
        <w:rPr>
          <w:sz w:val="18"/>
          <w:szCs w:val="22"/>
          <w:rtl/>
          <w:lang w:bidi="fa-IR"/>
        </w:rPr>
        <w:t xml:space="preserve"> ا</w:t>
      </w:r>
      <w:r w:rsidRPr="00F347D1">
        <w:rPr>
          <w:rFonts w:hint="cs"/>
          <w:sz w:val="18"/>
          <w:szCs w:val="22"/>
          <w:rtl/>
          <w:lang w:bidi="fa-IR"/>
        </w:rPr>
        <w:t>ی</w:t>
      </w:r>
      <w:r>
        <w:rPr>
          <w:rFonts w:hint="eastAsia"/>
          <w:sz w:val="18"/>
          <w:szCs w:val="22"/>
          <w:rtl/>
          <w:lang w:bidi="fa-IR"/>
        </w:rPr>
        <w:t>ران</w:t>
      </w:r>
      <w:r>
        <w:rPr>
          <w:rFonts w:hint="cs"/>
          <w:sz w:val="18"/>
          <w:szCs w:val="22"/>
          <w:rtl/>
          <w:lang w:bidi="fa-IR"/>
        </w:rPr>
        <w:t>.</w:t>
      </w:r>
      <w:r w:rsidRPr="00F347D1">
        <w:rPr>
          <w:sz w:val="18"/>
          <w:szCs w:val="22"/>
          <w:rtl/>
          <w:lang w:bidi="fa-IR"/>
        </w:rPr>
        <w:t xml:space="preserve"> </w:t>
      </w:r>
    </w:p>
    <w:p w14:paraId="23223E53" w14:textId="77777777" w:rsidR="00F06176" w:rsidRPr="00F347D1" w:rsidRDefault="00F06176" w:rsidP="00F06176">
      <w:pPr>
        <w:spacing w:after="40"/>
        <w:rPr>
          <w:sz w:val="18"/>
          <w:szCs w:val="22"/>
          <w:lang w:bidi="fa-IR"/>
        </w:rPr>
      </w:pPr>
      <w:r w:rsidRPr="00D04E78">
        <w:rPr>
          <w:rFonts w:hint="cs"/>
          <w:sz w:val="18"/>
          <w:szCs w:val="22"/>
          <w:vertAlign w:val="superscript"/>
          <w:rtl/>
          <w:lang w:bidi="fa-IR"/>
        </w:rPr>
        <w:t>2</w:t>
      </w:r>
      <w:r w:rsidRPr="00F347D1">
        <w:rPr>
          <w:rFonts w:hint="eastAsia"/>
          <w:sz w:val="18"/>
          <w:szCs w:val="22"/>
          <w:rtl/>
          <w:lang w:bidi="fa-IR"/>
        </w:rPr>
        <w:t>گروه</w:t>
      </w:r>
      <w:r w:rsidRPr="00F347D1">
        <w:rPr>
          <w:sz w:val="18"/>
          <w:szCs w:val="22"/>
          <w:rtl/>
          <w:lang w:bidi="fa-IR"/>
        </w:rPr>
        <w:t xml:space="preserve"> مهندس</w:t>
      </w:r>
      <w:r w:rsidRPr="00F347D1">
        <w:rPr>
          <w:rFonts w:hint="cs"/>
          <w:sz w:val="18"/>
          <w:szCs w:val="22"/>
          <w:rtl/>
          <w:lang w:bidi="fa-IR"/>
        </w:rPr>
        <w:t>ی</w:t>
      </w:r>
      <w:r w:rsidRPr="00F347D1">
        <w:rPr>
          <w:sz w:val="18"/>
          <w:szCs w:val="22"/>
          <w:rtl/>
          <w:lang w:bidi="fa-IR"/>
        </w:rPr>
        <w:t xml:space="preserve"> </w:t>
      </w:r>
      <w:r>
        <w:rPr>
          <w:sz w:val="18"/>
          <w:szCs w:val="22"/>
          <w:rtl/>
          <w:lang w:bidi="fa-IR"/>
        </w:rPr>
        <w:t>محیط‌زیست</w:t>
      </w:r>
      <w:r w:rsidRPr="00F347D1">
        <w:rPr>
          <w:rFonts w:hint="eastAsia"/>
          <w:sz w:val="18"/>
          <w:szCs w:val="22"/>
          <w:rtl/>
          <w:lang w:bidi="fa-IR"/>
        </w:rPr>
        <w:t>،</w:t>
      </w:r>
      <w:r w:rsidRPr="00F347D1">
        <w:rPr>
          <w:sz w:val="18"/>
          <w:szCs w:val="22"/>
          <w:rtl/>
          <w:lang w:bidi="fa-IR"/>
        </w:rPr>
        <w:t xml:space="preserve"> واحد تبر</w:t>
      </w:r>
      <w:r w:rsidRPr="00F347D1">
        <w:rPr>
          <w:rFonts w:hint="cs"/>
          <w:sz w:val="18"/>
          <w:szCs w:val="22"/>
          <w:rtl/>
          <w:lang w:bidi="fa-IR"/>
        </w:rPr>
        <w:t>ی</w:t>
      </w:r>
      <w:r w:rsidRPr="00F347D1">
        <w:rPr>
          <w:rFonts w:hint="eastAsia"/>
          <w:sz w:val="18"/>
          <w:szCs w:val="22"/>
          <w:rtl/>
          <w:lang w:bidi="fa-IR"/>
        </w:rPr>
        <w:t>ز،</w:t>
      </w:r>
      <w:r w:rsidRPr="00F347D1">
        <w:rPr>
          <w:sz w:val="18"/>
          <w:szCs w:val="22"/>
          <w:rtl/>
          <w:lang w:bidi="fa-IR"/>
        </w:rPr>
        <w:t xml:space="preserve"> دانشگاه آزاد اسلام</w:t>
      </w:r>
      <w:r w:rsidRPr="00F347D1">
        <w:rPr>
          <w:rFonts w:hint="cs"/>
          <w:sz w:val="18"/>
          <w:szCs w:val="22"/>
          <w:rtl/>
          <w:lang w:bidi="fa-IR"/>
        </w:rPr>
        <w:t>ی</w:t>
      </w:r>
      <w:r w:rsidRPr="00F347D1">
        <w:rPr>
          <w:rFonts w:hint="eastAsia"/>
          <w:sz w:val="18"/>
          <w:szCs w:val="22"/>
          <w:rtl/>
          <w:lang w:bidi="fa-IR"/>
        </w:rPr>
        <w:t>،</w:t>
      </w:r>
      <w:r w:rsidRPr="00F347D1">
        <w:rPr>
          <w:sz w:val="18"/>
          <w:szCs w:val="22"/>
          <w:rtl/>
          <w:lang w:bidi="fa-IR"/>
        </w:rPr>
        <w:t xml:space="preserve"> تبر</w:t>
      </w:r>
      <w:r w:rsidRPr="00F347D1">
        <w:rPr>
          <w:rFonts w:hint="cs"/>
          <w:sz w:val="18"/>
          <w:szCs w:val="22"/>
          <w:rtl/>
          <w:lang w:bidi="fa-IR"/>
        </w:rPr>
        <w:t>ی</w:t>
      </w:r>
      <w:r w:rsidRPr="00F347D1">
        <w:rPr>
          <w:rFonts w:hint="eastAsia"/>
          <w:sz w:val="18"/>
          <w:szCs w:val="22"/>
          <w:rtl/>
          <w:lang w:bidi="fa-IR"/>
        </w:rPr>
        <w:t>ز،</w:t>
      </w:r>
      <w:r w:rsidRPr="00F347D1">
        <w:rPr>
          <w:sz w:val="18"/>
          <w:szCs w:val="22"/>
          <w:rtl/>
          <w:lang w:bidi="fa-IR"/>
        </w:rPr>
        <w:t xml:space="preserve"> ا</w:t>
      </w:r>
      <w:r w:rsidRPr="00F347D1">
        <w:rPr>
          <w:rFonts w:hint="cs"/>
          <w:sz w:val="18"/>
          <w:szCs w:val="22"/>
          <w:rtl/>
          <w:lang w:bidi="fa-IR"/>
        </w:rPr>
        <w:t>ی</w:t>
      </w:r>
      <w:r w:rsidRPr="00F347D1">
        <w:rPr>
          <w:rFonts w:hint="eastAsia"/>
          <w:sz w:val="18"/>
          <w:szCs w:val="22"/>
          <w:rtl/>
          <w:lang w:bidi="fa-IR"/>
        </w:rPr>
        <w:t>ران؛</w:t>
      </w:r>
      <w:r w:rsidRPr="00F347D1">
        <w:rPr>
          <w:sz w:val="18"/>
          <w:szCs w:val="22"/>
          <w:rtl/>
          <w:lang w:bidi="fa-IR"/>
        </w:rPr>
        <w:t xml:space="preserve"> مرکز تحق</w:t>
      </w:r>
      <w:r w:rsidRPr="00F347D1">
        <w:rPr>
          <w:rFonts w:hint="cs"/>
          <w:sz w:val="18"/>
          <w:szCs w:val="22"/>
          <w:rtl/>
          <w:lang w:bidi="fa-IR"/>
        </w:rPr>
        <w:t>ی</w:t>
      </w:r>
      <w:r w:rsidRPr="00F347D1">
        <w:rPr>
          <w:rFonts w:hint="eastAsia"/>
          <w:sz w:val="18"/>
          <w:szCs w:val="22"/>
          <w:rtl/>
          <w:lang w:bidi="fa-IR"/>
        </w:rPr>
        <w:t>قات</w:t>
      </w:r>
      <w:r w:rsidRPr="00F347D1">
        <w:rPr>
          <w:sz w:val="18"/>
          <w:szCs w:val="22"/>
          <w:rtl/>
          <w:lang w:bidi="fa-IR"/>
        </w:rPr>
        <w:t xml:space="preserve"> مد</w:t>
      </w:r>
      <w:r w:rsidRPr="00F347D1">
        <w:rPr>
          <w:rFonts w:hint="cs"/>
          <w:sz w:val="18"/>
          <w:szCs w:val="22"/>
          <w:rtl/>
          <w:lang w:bidi="fa-IR"/>
        </w:rPr>
        <w:t>ی</w:t>
      </w:r>
      <w:r w:rsidRPr="00F347D1">
        <w:rPr>
          <w:rFonts w:hint="eastAsia"/>
          <w:sz w:val="18"/>
          <w:szCs w:val="22"/>
          <w:rtl/>
          <w:lang w:bidi="fa-IR"/>
        </w:rPr>
        <w:t>ر</w:t>
      </w:r>
      <w:r w:rsidRPr="00F347D1">
        <w:rPr>
          <w:rFonts w:hint="cs"/>
          <w:sz w:val="18"/>
          <w:szCs w:val="22"/>
          <w:rtl/>
          <w:lang w:bidi="fa-IR"/>
        </w:rPr>
        <w:t>ی</w:t>
      </w:r>
      <w:r w:rsidRPr="00F347D1">
        <w:rPr>
          <w:rFonts w:hint="eastAsia"/>
          <w:sz w:val="18"/>
          <w:szCs w:val="22"/>
          <w:rtl/>
          <w:lang w:bidi="fa-IR"/>
        </w:rPr>
        <w:t>ت</w:t>
      </w:r>
      <w:r w:rsidRPr="00F347D1">
        <w:rPr>
          <w:sz w:val="18"/>
          <w:szCs w:val="22"/>
          <w:rtl/>
          <w:lang w:bidi="fa-IR"/>
        </w:rPr>
        <w:t xml:space="preserve"> توسعه پا</w:t>
      </w:r>
      <w:r w:rsidRPr="00F347D1">
        <w:rPr>
          <w:rFonts w:hint="cs"/>
          <w:sz w:val="18"/>
          <w:szCs w:val="22"/>
          <w:rtl/>
          <w:lang w:bidi="fa-IR"/>
        </w:rPr>
        <w:t>ی</w:t>
      </w:r>
      <w:r w:rsidRPr="00F347D1">
        <w:rPr>
          <w:rFonts w:hint="eastAsia"/>
          <w:sz w:val="18"/>
          <w:szCs w:val="22"/>
          <w:rtl/>
          <w:lang w:bidi="fa-IR"/>
        </w:rPr>
        <w:t>دار</w:t>
      </w:r>
      <w:r w:rsidRPr="00F347D1">
        <w:rPr>
          <w:sz w:val="18"/>
          <w:szCs w:val="22"/>
          <w:rtl/>
          <w:lang w:bidi="fa-IR"/>
        </w:rPr>
        <w:t xml:space="preserve"> حوضه‌ها</w:t>
      </w:r>
      <w:r w:rsidRPr="00F347D1">
        <w:rPr>
          <w:rFonts w:hint="cs"/>
          <w:sz w:val="18"/>
          <w:szCs w:val="22"/>
          <w:rtl/>
          <w:lang w:bidi="fa-IR"/>
        </w:rPr>
        <w:t>ی</w:t>
      </w:r>
      <w:r w:rsidRPr="00F347D1">
        <w:rPr>
          <w:sz w:val="18"/>
          <w:szCs w:val="22"/>
          <w:rtl/>
          <w:lang w:bidi="fa-IR"/>
        </w:rPr>
        <w:t xml:space="preserve"> آبر</w:t>
      </w:r>
      <w:r w:rsidRPr="00F347D1">
        <w:rPr>
          <w:rFonts w:hint="cs"/>
          <w:sz w:val="18"/>
          <w:szCs w:val="22"/>
          <w:rtl/>
          <w:lang w:bidi="fa-IR"/>
        </w:rPr>
        <w:t>ی</w:t>
      </w:r>
      <w:r w:rsidRPr="00F347D1">
        <w:rPr>
          <w:rFonts w:hint="eastAsia"/>
          <w:sz w:val="18"/>
          <w:szCs w:val="22"/>
          <w:rtl/>
          <w:lang w:bidi="fa-IR"/>
        </w:rPr>
        <w:t>ز</w:t>
      </w:r>
      <w:r w:rsidRPr="00F347D1">
        <w:rPr>
          <w:sz w:val="18"/>
          <w:szCs w:val="22"/>
          <w:rtl/>
          <w:lang w:bidi="fa-IR"/>
        </w:rPr>
        <w:t xml:space="preserve"> در</w:t>
      </w:r>
      <w:r w:rsidRPr="00F347D1">
        <w:rPr>
          <w:rFonts w:hint="cs"/>
          <w:sz w:val="18"/>
          <w:szCs w:val="22"/>
          <w:rtl/>
          <w:lang w:bidi="fa-IR"/>
        </w:rPr>
        <w:t>ی</w:t>
      </w:r>
      <w:r w:rsidRPr="00F347D1">
        <w:rPr>
          <w:rFonts w:hint="eastAsia"/>
          <w:sz w:val="18"/>
          <w:szCs w:val="22"/>
          <w:rtl/>
          <w:lang w:bidi="fa-IR"/>
        </w:rPr>
        <w:t>اچه</w:t>
      </w:r>
      <w:r w:rsidRPr="00F347D1">
        <w:rPr>
          <w:sz w:val="18"/>
          <w:szCs w:val="22"/>
          <w:rtl/>
          <w:lang w:bidi="fa-IR"/>
        </w:rPr>
        <w:t xml:space="preserve"> اروم</w:t>
      </w:r>
      <w:r w:rsidRPr="00F347D1">
        <w:rPr>
          <w:rFonts w:hint="cs"/>
          <w:sz w:val="18"/>
          <w:szCs w:val="22"/>
          <w:rtl/>
          <w:lang w:bidi="fa-IR"/>
        </w:rPr>
        <w:t>ی</w:t>
      </w:r>
      <w:r w:rsidRPr="00F347D1">
        <w:rPr>
          <w:rFonts w:hint="eastAsia"/>
          <w:sz w:val="18"/>
          <w:szCs w:val="22"/>
          <w:rtl/>
          <w:lang w:bidi="fa-IR"/>
        </w:rPr>
        <w:t>ه</w:t>
      </w:r>
      <w:r w:rsidRPr="00F347D1">
        <w:rPr>
          <w:sz w:val="18"/>
          <w:szCs w:val="22"/>
          <w:rtl/>
          <w:lang w:bidi="fa-IR"/>
        </w:rPr>
        <w:t xml:space="preserve"> و رودخانه ارس، واحد تبر</w:t>
      </w:r>
      <w:r w:rsidRPr="00F347D1">
        <w:rPr>
          <w:rFonts w:hint="cs"/>
          <w:sz w:val="18"/>
          <w:szCs w:val="22"/>
          <w:rtl/>
          <w:lang w:bidi="fa-IR"/>
        </w:rPr>
        <w:t>ی</w:t>
      </w:r>
      <w:r w:rsidRPr="00F347D1">
        <w:rPr>
          <w:rFonts w:hint="eastAsia"/>
          <w:sz w:val="18"/>
          <w:szCs w:val="22"/>
          <w:rtl/>
          <w:lang w:bidi="fa-IR"/>
        </w:rPr>
        <w:t>ز،</w:t>
      </w:r>
      <w:r w:rsidRPr="00F347D1">
        <w:rPr>
          <w:sz w:val="18"/>
          <w:szCs w:val="22"/>
          <w:rtl/>
          <w:lang w:bidi="fa-IR"/>
        </w:rPr>
        <w:t xml:space="preserve"> دانشگاه آزاد اسلام</w:t>
      </w:r>
      <w:r w:rsidRPr="00F347D1">
        <w:rPr>
          <w:rFonts w:hint="cs"/>
          <w:sz w:val="18"/>
          <w:szCs w:val="22"/>
          <w:rtl/>
          <w:lang w:bidi="fa-IR"/>
        </w:rPr>
        <w:t>ی</w:t>
      </w:r>
      <w:r w:rsidRPr="00F347D1">
        <w:rPr>
          <w:rFonts w:hint="eastAsia"/>
          <w:sz w:val="18"/>
          <w:szCs w:val="22"/>
          <w:rtl/>
          <w:lang w:bidi="fa-IR"/>
        </w:rPr>
        <w:t>،</w:t>
      </w:r>
      <w:r w:rsidRPr="00F347D1">
        <w:rPr>
          <w:sz w:val="18"/>
          <w:szCs w:val="22"/>
          <w:rtl/>
          <w:lang w:bidi="fa-IR"/>
        </w:rPr>
        <w:t xml:space="preserve"> تبر</w:t>
      </w:r>
      <w:r w:rsidRPr="00F347D1">
        <w:rPr>
          <w:rFonts w:hint="cs"/>
          <w:sz w:val="18"/>
          <w:szCs w:val="22"/>
          <w:rtl/>
          <w:lang w:bidi="fa-IR"/>
        </w:rPr>
        <w:t>ی</w:t>
      </w:r>
      <w:r w:rsidRPr="00F347D1">
        <w:rPr>
          <w:rFonts w:hint="eastAsia"/>
          <w:sz w:val="18"/>
          <w:szCs w:val="22"/>
          <w:rtl/>
          <w:lang w:bidi="fa-IR"/>
        </w:rPr>
        <w:t>ز،</w:t>
      </w:r>
      <w:r w:rsidRPr="00F347D1">
        <w:rPr>
          <w:sz w:val="18"/>
          <w:szCs w:val="22"/>
          <w:rtl/>
          <w:lang w:bidi="fa-IR"/>
        </w:rPr>
        <w:t xml:space="preserve"> ا</w:t>
      </w:r>
      <w:r w:rsidRPr="00F347D1">
        <w:rPr>
          <w:rFonts w:hint="cs"/>
          <w:sz w:val="18"/>
          <w:szCs w:val="22"/>
          <w:rtl/>
          <w:lang w:bidi="fa-IR"/>
        </w:rPr>
        <w:t>ی</w:t>
      </w:r>
      <w:r w:rsidRPr="00F347D1">
        <w:rPr>
          <w:rFonts w:hint="eastAsia"/>
          <w:sz w:val="18"/>
          <w:szCs w:val="22"/>
          <w:rtl/>
          <w:lang w:bidi="fa-IR"/>
        </w:rPr>
        <w:t>ران</w:t>
      </w:r>
      <w:r w:rsidRPr="00F347D1">
        <w:rPr>
          <w:sz w:val="18"/>
          <w:szCs w:val="22"/>
          <w:rtl/>
          <w:lang w:bidi="fa-IR"/>
        </w:rPr>
        <w:t>.</w:t>
      </w:r>
      <w:r>
        <w:rPr>
          <w:rFonts w:hint="cs"/>
          <w:sz w:val="18"/>
          <w:szCs w:val="22"/>
          <w:rtl/>
          <w:lang w:bidi="fa-IR"/>
        </w:rPr>
        <w:t xml:space="preserve"> </w:t>
      </w:r>
      <w:r w:rsidRPr="00F347D1">
        <w:rPr>
          <w:rFonts w:hint="cs"/>
          <w:sz w:val="18"/>
          <w:szCs w:val="22"/>
          <w:rtl/>
          <w:lang w:bidi="fa-IR"/>
        </w:rPr>
        <w:t>*</w:t>
      </w:r>
      <w:r w:rsidRPr="00F347D1">
        <w:rPr>
          <w:rFonts w:hint="eastAsia"/>
          <w:sz w:val="18"/>
          <w:szCs w:val="22"/>
          <w:rtl/>
          <w:lang w:bidi="fa-IR"/>
        </w:rPr>
        <w:t>نو</w:t>
      </w:r>
      <w:r w:rsidRPr="00F347D1">
        <w:rPr>
          <w:rFonts w:hint="cs"/>
          <w:sz w:val="18"/>
          <w:szCs w:val="22"/>
          <w:rtl/>
          <w:lang w:bidi="fa-IR"/>
        </w:rPr>
        <w:t>ی</w:t>
      </w:r>
      <w:r w:rsidRPr="00F347D1">
        <w:rPr>
          <w:rFonts w:hint="eastAsia"/>
          <w:sz w:val="18"/>
          <w:szCs w:val="22"/>
          <w:rtl/>
          <w:lang w:bidi="fa-IR"/>
        </w:rPr>
        <w:t>سنده</w:t>
      </w:r>
      <w:r w:rsidRPr="00F347D1">
        <w:rPr>
          <w:sz w:val="18"/>
          <w:szCs w:val="22"/>
          <w:rtl/>
          <w:lang w:bidi="fa-IR"/>
        </w:rPr>
        <w:t xml:space="preserve"> مسئول</w:t>
      </w:r>
      <w:r w:rsidRPr="00F347D1">
        <w:rPr>
          <w:rFonts w:hint="cs"/>
          <w:sz w:val="18"/>
          <w:szCs w:val="22"/>
          <w:rtl/>
          <w:lang w:bidi="fa-IR"/>
        </w:rPr>
        <w:t xml:space="preserve"> </w:t>
      </w:r>
      <w:r w:rsidRPr="00F347D1">
        <w:rPr>
          <w:rFonts w:hint="eastAsia"/>
          <w:sz w:val="18"/>
          <w:szCs w:val="22"/>
          <w:rtl/>
          <w:lang w:bidi="fa-IR"/>
        </w:rPr>
        <w:t>ا</w:t>
      </w:r>
      <w:r w:rsidRPr="00F347D1">
        <w:rPr>
          <w:rFonts w:hint="cs"/>
          <w:sz w:val="18"/>
          <w:szCs w:val="22"/>
          <w:rtl/>
          <w:lang w:bidi="fa-IR"/>
        </w:rPr>
        <w:t>ی</w:t>
      </w:r>
      <w:r w:rsidRPr="00F347D1">
        <w:rPr>
          <w:rFonts w:hint="eastAsia"/>
          <w:sz w:val="18"/>
          <w:szCs w:val="22"/>
          <w:rtl/>
          <w:lang w:bidi="fa-IR"/>
        </w:rPr>
        <w:t>م</w:t>
      </w:r>
      <w:r w:rsidRPr="00F347D1">
        <w:rPr>
          <w:rFonts w:hint="cs"/>
          <w:sz w:val="18"/>
          <w:szCs w:val="22"/>
          <w:rtl/>
          <w:lang w:bidi="fa-IR"/>
        </w:rPr>
        <w:t>ی</w:t>
      </w:r>
      <w:r w:rsidRPr="00F347D1">
        <w:rPr>
          <w:rFonts w:hint="eastAsia"/>
          <w:sz w:val="18"/>
          <w:szCs w:val="22"/>
          <w:rtl/>
          <w:lang w:bidi="fa-IR"/>
        </w:rPr>
        <w:t>ل</w:t>
      </w:r>
      <w:r w:rsidRPr="00F347D1">
        <w:rPr>
          <w:sz w:val="18"/>
          <w:szCs w:val="22"/>
          <w:rtl/>
          <w:lang w:bidi="fa-IR"/>
        </w:rPr>
        <w:t>:</w:t>
      </w:r>
      <w:r>
        <w:rPr>
          <w:rFonts w:hint="cs"/>
          <w:sz w:val="18"/>
          <w:szCs w:val="22"/>
          <w:rtl/>
          <w:lang w:bidi="fa-IR"/>
        </w:rPr>
        <w:t xml:space="preserve">  </w:t>
      </w:r>
      <w:r w:rsidRPr="000539CD">
        <w:rPr>
          <w:rStyle w:val="Hyperlink"/>
          <w:rFonts w:eastAsia="Times New Roman"/>
          <w:sz w:val="20"/>
          <w:szCs w:val="20"/>
        </w:rPr>
        <w:t>ramazani@iau.ac.ir</w:t>
      </w:r>
    </w:p>
    <w:p w14:paraId="73BDACEC" w14:textId="77777777" w:rsidR="00F06176" w:rsidRPr="00F347D1" w:rsidRDefault="00F06176" w:rsidP="00F06176">
      <w:pPr>
        <w:spacing w:after="40"/>
        <w:rPr>
          <w:sz w:val="18"/>
          <w:szCs w:val="22"/>
          <w:rtl/>
          <w:lang w:bidi="fa-IR"/>
        </w:rPr>
      </w:pPr>
      <w:r w:rsidRPr="00D04E78">
        <w:rPr>
          <w:rFonts w:hint="cs"/>
          <w:sz w:val="18"/>
          <w:szCs w:val="22"/>
          <w:vertAlign w:val="superscript"/>
          <w:rtl/>
          <w:lang w:bidi="fa-IR"/>
        </w:rPr>
        <w:t>3</w:t>
      </w:r>
      <w:r w:rsidRPr="00F347D1">
        <w:rPr>
          <w:rFonts w:hint="eastAsia"/>
          <w:sz w:val="18"/>
          <w:szCs w:val="22"/>
          <w:rtl/>
          <w:lang w:bidi="fa-IR"/>
        </w:rPr>
        <w:t>مرکز</w:t>
      </w:r>
      <w:r w:rsidRPr="00F347D1">
        <w:rPr>
          <w:sz w:val="18"/>
          <w:szCs w:val="22"/>
          <w:rtl/>
          <w:lang w:bidi="fa-IR"/>
        </w:rPr>
        <w:t xml:space="preserve"> تحق</w:t>
      </w:r>
      <w:r w:rsidRPr="00F347D1">
        <w:rPr>
          <w:rFonts w:hint="cs"/>
          <w:sz w:val="18"/>
          <w:szCs w:val="22"/>
          <w:rtl/>
          <w:lang w:bidi="fa-IR"/>
        </w:rPr>
        <w:t>ی</w:t>
      </w:r>
      <w:r w:rsidRPr="00F347D1">
        <w:rPr>
          <w:rFonts w:hint="eastAsia"/>
          <w:sz w:val="18"/>
          <w:szCs w:val="22"/>
          <w:rtl/>
          <w:lang w:bidi="fa-IR"/>
        </w:rPr>
        <w:t>قات</w:t>
      </w:r>
      <w:r w:rsidRPr="00F347D1">
        <w:rPr>
          <w:sz w:val="18"/>
          <w:szCs w:val="22"/>
          <w:rtl/>
          <w:lang w:bidi="fa-IR"/>
        </w:rPr>
        <w:t xml:space="preserve"> مد</w:t>
      </w:r>
      <w:r w:rsidRPr="00F347D1">
        <w:rPr>
          <w:rFonts w:hint="cs"/>
          <w:sz w:val="18"/>
          <w:szCs w:val="22"/>
          <w:rtl/>
          <w:lang w:bidi="fa-IR"/>
        </w:rPr>
        <w:t>ی</w:t>
      </w:r>
      <w:r w:rsidRPr="00F347D1">
        <w:rPr>
          <w:rFonts w:hint="eastAsia"/>
          <w:sz w:val="18"/>
          <w:szCs w:val="22"/>
          <w:rtl/>
          <w:lang w:bidi="fa-IR"/>
        </w:rPr>
        <w:t>ر</w:t>
      </w:r>
      <w:r w:rsidRPr="00F347D1">
        <w:rPr>
          <w:rFonts w:hint="cs"/>
          <w:sz w:val="18"/>
          <w:szCs w:val="22"/>
          <w:rtl/>
          <w:lang w:bidi="fa-IR"/>
        </w:rPr>
        <w:t>ی</w:t>
      </w:r>
      <w:r w:rsidRPr="00F347D1">
        <w:rPr>
          <w:rFonts w:hint="eastAsia"/>
          <w:sz w:val="18"/>
          <w:szCs w:val="22"/>
          <w:rtl/>
          <w:lang w:bidi="fa-IR"/>
        </w:rPr>
        <w:t>ت</w:t>
      </w:r>
      <w:r w:rsidRPr="00F347D1">
        <w:rPr>
          <w:sz w:val="18"/>
          <w:szCs w:val="22"/>
          <w:rtl/>
          <w:lang w:bidi="fa-IR"/>
        </w:rPr>
        <w:t xml:space="preserve"> خدمات سلامت تبر</w:t>
      </w:r>
      <w:r w:rsidRPr="00F347D1">
        <w:rPr>
          <w:rFonts w:hint="cs"/>
          <w:sz w:val="18"/>
          <w:szCs w:val="22"/>
          <w:rtl/>
          <w:lang w:bidi="fa-IR"/>
        </w:rPr>
        <w:t>ی</w:t>
      </w:r>
      <w:r w:rsidRPr="00F347D1">
        <w:rPr>
          <w:rFonts w:hint="eastAsia"/>
          <w:sz w:val="18"/>
          <w:szCs w:val="22"/>
          <w:rtl/>
          <w:lang w:bidi="fa-IR"/>
        </w:rPr>
        <w:t>ز،</w:t>
      </w:r>
      <w:r w:rsidRPr="00F347D1">
        <w:rPr>
          <w:sz w:val="18"/>
          <w:szCs w:val="22"/>
          <w:rtl/>
          <w:lang w:bidi="fa-IR"/>
        </w:rPr>
        <w:t xml:space="preserve"> دانشگاه علوم پزشک</w:t>
      </w:r>
      <w:r w:rsidRPr="00F347D1">
        <w:rPr>
          <w:rFonts w:hint="cs"/>
          <w:sz w:val="18"/>
          <w:szCs w:val="22"/>
          <w:rtl/>
          <w:lang w:bidi="fa-IR"/>
        </w:rPr>
        <w:t>ی</w:t>
      </w:r>
      <w:r w:rsidRPr="00F347D1">
        <w:rPr>
          <w:sz w:val="18"/>
          <w:szCs w:val="22"/>
          <w:rtl/>
          <w:lang w:bidi="fa-IR"/>
        </w:rPr>
        <w:t xml:space="preserve"> تبر</w:t>
      </w:r>
      <w:r w:rsidRPr="00F347D1">
        <w:rPr>
          <w:rFonts w:hint="cs"/>
          <w:sz w:val="18"/>
          <w:szCs w:val="22"/>
          <w:rtl/>
          <w:lang w:bidi="fa-IR"/>
        </w:rPr>
        <w:t>ی</w:t>
      </w:r>
      <w:r w:rsidRPr="00F347D1">
        <w:rPr>
          <w:rFonts w:hint="eastAsia"/>
          <w:sz w:val="18"/>
          <w:szCs w:val="22"/>
          <w:rtl/>
          <w:lang w:bidi="fa-IR"/>
        </w:rPr>
        <w:t>ز،</w:t>
      </w:r>
      <w:r w:rsidRPr="00F347D1">
        <w:rPr>
          <w:sz w:val="18"/>
          <w:szCs w:val="22"/>
          <w:rtl/>
          <w:lang w:bidi="fa-IR"/>
        </w:rPr>
        <w:t xml:space="preserve"> تبر</w:t>
      </w:r>
      <w:r w:rsidRPr="00F347D1">
        <w:rPr>
          <w:rFonts w:hint="cs"/>
          <w:sz w:val="18"/>
          <w:szCs w:val="22"/>
          <w:rtl/>
          <w:lang w:bidi="fa-IR"/>
        </w:rPr>
        <w:t>ی</w:t>
      </w:r>
      <w:r w:rsidRPr="00F347D1">
        <w:rPr>
          <w:rFonts w:hint="eastAsia"/>
          <w:sz w:val="18"/>
          <w:szCs w:val="22"/>
          <w:rtl/>
          <w:lang w:bidi="fa-IR"/>
        </w:rPr>
        <w:t>ز،</w:t>
      </w:r>
      <w:r w:rsidRPr="00F347D1">
        <w:rPr>
          <w:sz w:val="18"/>
          <w:szCs w:val="22"/>
          <w:rtl/>
          <w:lang w:bidi="fa-IR"/>
        </w:rPr>
        <w:t xml:space="preserve"> ا</w:t>
      </w:r>
      <w:r w:rsidRPr="00F347D1">
        <w:rPr>
          <w:rFonts w:hint="cs"/>
          <w:sz w:val="18"/>
          <w:szCs w:val="22"/>
          <w:rtl/>
          <w:lang w:bidi="fa-IR"/>
        </w:rPr>
        <w:t>ی</w:t>
      </w:r>
      <w:r w:rsidRPr="00F347D1">
        <w:rPr>
          <w:rFonts w:hint="eastAsia"/>
          <w:sz w:val="18"/>
          <w:szCs w:val="22"/>
          <w:rtl/>
          <w:lang w:bidi="fa-IR"/>
        </w:rPr>
        <w:t>ران؛</w:t>
      </w:r>
      <w:r w:rsidRPr="00F347D1">
        <w:rPr>
          <w:sz w:val="18"/>
          <w:szCs w:val="22"/>
          <w:rtl/>
          <w:lang w:bidi="fa-IR"/>
        </w:rPr>
        <w:t xml:space="preserve"> مرکز تحق</w:t>
      </w:r>
      <w:r w:rsidRPr="00F347D1">
        <w:rPr>
          <w:rFonts w:hint="cs"/>
          <w:sz w:val="18"/>
          <w:szCs w:val="22"/>
          <w:rtl/>
          <w:lang w:bidi="fa-IR"/>
        </w:rPr>
        <w:t>ی</w:t>
      </w:r>
      <w:r w:rsidRPr="00F347D1">
        <w:rPr>
          <w:rFonts w:hint="eastAsia"/>
          <w:sz w:val="18"/>
          <w:szCs w:val="22"/>
          <w:rtl/>
          <w:lang w:bidi="fa-IR"/>
        </w:rPr>
        <w:t>قات</w:t>
      </w:r>
      <w:r w:rsidRPr="00F347D1">
        <w:rPr>
          <w:sz w:val="18"/>
          <w:szCs w:val="22"/>
          <w:rtl/>
          <w:lang w:bidi="fa-IR"/>
        </w:rPr>
        <w:t xml:space="preserve"> علوم آب و ه</w:t>
      </w:r>
      <w:r w:rsidRPr="00F347D1">
        <w:rPr>
          <w:rFonts w:hint="cs"/>
          <w:sz w:val="18"/>
          <w:szCs w:val="22"/>
          <w:rtl/>
          <w:lang w:bidi="fa-IR"/>
        </w:rPr>
        <w:t>ی</w:t>
      </w:r>
      <w:r w:rsidRPr="00F347D1">
        <w:rPr>
          <w:rFonts w:hint="eastAsia"/>
          <w:sz w:val="18"/>
          <w:szCs w:val="22"/>
          <w:rtl/>
          <w:lang w:bidi="fa-IR"/>
        </w:rPr>
        <w:t>دروانفورمات</w:t>
      </w:r>
      <w:r w:rsidRPr="00F347D1">
        <w:rPr>
          <w:rFonts w:hint="cs"/>
          <w:sz w:val="18"/>
          <w:szCs w:val="22"/>
          <w:rtl/>
          <w:lang w:bidi="fa-IR"/>
        </w:rPr>
        <w:t>ی</w:t>
      </w:r>
      <w:r w:rsidRPr="00F347D1">
        <w:rPr>
          <w:rFonts w:hint="eastAsia"/>
          <w:sz w:val="18"/>
          <w:szCs w:val="22"/>
          <w:rtl/>
          <w:lang w:bidi="fa-IR"/>
        </w:rPr>
        <w:t>ک،</w:t>
      </w:r>
      <w:r w:rsidRPr="00F347D1">
        <w:rPr>
          <w:sz w:val="18"/>
          <w:szCs w:val="22"/>
          <w:rtl/>
          <w:lang w:bidi="fa-IR"/>
        </w:rPr>
        <w:t xml:space="preserve"> دانشگاه خزر، باکو، جمهور</w:t>
      </w:r>
      <w:r w:rsidRPr="00F347D1">
        <w:rPr>
          <w:rFonts w:hint="cs"/>
          <w:sz w:val="18"/>
          <w:szCs w:val="22"/>
          <w:rtl/>
          <w:lang w:bidi="fa-IR"/>
        </w:rPr>
        <w:t>ی</w:t>
      </w:r>
      <w:r w:rsidRPr="00F347D1">
        <w:rPr>
          <w:sz w:val="18"/>
          <w:szCs w:val="22"/>
          <w:rtl/>
          <w:lang w:bidi="fa-IR"/>
        </w:rPr>
        <w:t xml:space="preserve"> آذربا</w:t>
      </w:r>
      <w:r w:rsidRPr="00F347D1">
        <w:rPr>
          <w:rFonts w:hint="cs"/>
          <w:sz w:val="18"/>
          <w:szCs w:val="22"/>
          <w:rtl/>
          <w:lang w:bidi="fa-IR"/>
        </w:rPr>
        <w:t>ی</w:t>
      </w:r>
      <w:r w:rsidRPr="00F347D1">
        <w:rPr>
          <w:rFonts w:hint="eastAsia"/>
          <w:sz w:val="18"/>
          <w:szCs w:val="22"/>
          <w:rtl/>
          <w:lang w:bidi="fa-IR"/>
        </w:rPr>
        <w:t>جان</w:t>
      </w:r>
      <w:r w:rsidRPr="00F347D1">
        <w:rPr>
          <w:sz w:val="18"/>
          <w:szCs w:val="22"/>
          <w:rtl/>
          <w:lang w:bidi="fa-IR"/>
        </w:rPr>
        <w:t>.</w:t>
      </w:r>
    </w:p>
    <w:p w14:paraId="4E9FD178" w14:textId="77777777" w:rsidR="00F06176" w:rsidRPr="00F347D1" w:rsidRDefault="00F06176" w:rsidP="00F06176">
      <w:pPr>
        <w:spacing w:after="40"/>
        <w:rPr>
          <w:sz w:val="18"/>
          <w:szCs w:val="22"/>
          <w:rtl/>
          <w:lang w:bidi="fa-IR"/>
        </w:rPr>
      </w:pPr>
      <w:r w:rsidRPr="00D04E78">
        <w:rPr>
          <w:rFonts w:hint="cs"/>
          <w:sz w:val="18"/>
          <w:szCs w:val="22"/>
          <w:vertAlign w:val="superscript"/>
          <w:rtl/>
          <w:lang w:bidi="fa-IR"/>
        </w:rPr>
        <w:t>4</w:t>
      </w:r>
      <w:r w:rsidRPr="00F347D1">
        <w:rPr>
          <w:rFonts w:hint="eastAsia"/>
          <w:sz w:val="18"/>
          <w:szCs w:val="22"/>
          <w:rtl/>
          <w:lang w:bidi="fa-IR"/>
        </w:rPr>
        <w:t>دانش</w:t>
      </w:r>
      <w:r w:rsidRPr="00F347D1">
        <w:rPr>
          <w:rFonts w:hint="cs"/>
          <w:sz w:val="18"/>
          <w:szCs w:val="22"/>
          <w:rtl/>
          <w:lang w:bidi="fa-IR"/>
        </w:rPr>
        <w:t>ی</w:t>
      </w:r>
      <w:r w:rsidRPr="00F347D1">
        <w:rPr>
          <w:rFonts w:hint="eastAsia"/>
          <w:sz w:val="18"/>
          <w:szCs w:val="22"/>
          <w:rtl/>
          <w:lang w:bidi="fa-IR"/>
        </w:rPr>
        <w:t>ار،</w:t>
      </w:r>
      <w:r w:rsidRPr="00F347D1">
        <w:rPr>
          <w:sz w:val="18"/>
          <w:szCs w:val="22"/>
          <w:rtl/>
          <w:lang w:bidi="fa-IR"/>
        </w:rPr>
        <w:t xml:space="preserve"> گروه علوم و مهندس</w:t>
      </w:r>
      <w:r w:rsidRPr="00F347D1">
        <w:rPr>
          <w:rFonts w:hint="cs"/>
          <w:sz w:val="18"/>
          <w:szCs w:val="22"/>
          <w:rtl/>
          <w:lang w:bidi="fa-IR"/>
        </w:rPr>
        <w:t>ی</w:t>
      </w:r>
      <w:r w:rsidRPr="00F347D1">
        <w:rPr>
          <w:sz w:val="18"/>
          <w:szCs w:val="22"/>
          <w:rtl/>
          <w:lang w:bidi="fa-IR"/>
        </w:rPr>
        <w:t xml:space="preserve"> </w:t>
      </w:r>
      <w:r>
        <w:rPr>
          <w:sz w:val="18"/>
          <w:szCs w:val="22"/>
          <w:rtl/>
          <w:lang w:bidi="fa-IR"/>
        </w:rPr>
        <w:t>محیط‌زیست</w:t>
      </w:r>
      <w:r w:rsidRPr="00F347D1">
        <w:rPr>
          <w:rFonts w:hint="eastAsia"/>
          <w:sz w:val="18"/>
          <w:szCs w:val="22"/>
          <w:rtl/>
          <w:lang w:bidi="fa-IR"/>
        </w:rPr>
        <w:t>،</w:t>
      </w:r>
      <w:r w:rsidRPr="00F347D1">
        <w:rPr>
          <w:sz w:val="18"/>
          <w:szCs w:val="22"/>
          <w:rtl/>
          <w:lang w:bidi="fa-IR"/>
        </w:rPr>
        <w:t xml:space="preserve"> واحد تبر</w:t>
      </w:r>
      <w:r w:rsidRPr="00F347D1">
        <w:rPr>
          <w:rFonts w:hint="cs"/>
          <w:sz w:val="18"/>
          <w:szCs w:val="22"/>
          <w:rtl/>
          <w:lang w:bidi="fa-IR"/>
        </w:rPr>
        <w:t>ی</w:t>
      </w:r>
      <w:r w:rsidRPr="00F347D1">
        <w:rPr>
          <w:rFonts w:hint="eastAsia"/>
          <w:sz w:val="18"/>
          <w:szCs w:val="22"/>
          <w:rtl/>
          <w:lang w:bidi="fa-IR"/>
        </w:rPr>
        <w:t>ز،</w:t>
      </w:r>
      <w:r w:rsidRPr="00F347D1">
        <w:rPr>
          <w:sz w:val="18"/>
          <w:szCs w:val="22"/>
          <w:rtl/>
          <w:lang w:bidi="fa-IR"/>
        </w:rPr>
        <w:t xml:space="preserve"> دانشگاه آزاد اسلام</w:t>
      </w:r>
      <w:r w:rsidRPr="00F347D1">
        <w:rPr>
          <w:rFonts w:hint="cs"/>
          <w:sz w:val="18"/>
          <w:szCs w:val="22"/>
          <w:rtl/>
          <w:lang w:bidi="fa-IR"/>
        </w:rPr>
        <w:t>ی</w:t>
      </w:r>
      <w:r w:rsidRPr="00F347D1">
        <w:rPr>
          <w:rFonts w:hint="eastAsia"/>
          <w:sz w:val="18"/>
          <w:szCs w:val="22"/>
          <w:rtl/>
          <w:lang w:bidi="fa-IR"/>
        </w:rPr>
        <w:t>،</w:t>
      </w:r>
      <w:r w:rsidRPr="00F347D1">
        <w:rPr>
          <w:sz w:val="18"/>
          <w:szCs w:val="22"/>
          <w:rtl/>
          <w:lang w:bidi="fa-IR"/>
        </w:rPr>
        <w:t xml:space="preserve"> تبر</w:t>
      </w:r>
      <w:r w:rsidRPr="00F347D1">
        <w:rPr>
          <w:rFonts w:hint="cs"/>
          <w:sz w:val="18"/>
          <w:szCs w:val="22"/>
          <w:rtl/>
          <w:lang w:bidi="fa-IR"/>
        </w:rPr>
        <w:t>ی</w:t>
      </w:r>
      <w:r w:rsidRPr="00F347D1">
        <w:rPr>
          <w:rFonts w:hint="eastAsia"/>
          <w:sz w:val="18"/>
          <w:szCs w:val="22"/>
          <w:rtl/>
          <w:lang w:bidi="fa-IR"/>
        </w:rPr>
        <w:t>ز،</w:t>
      </w:r>
      <w:r w:rsidRPr="00F347D1">
        <w:rPr>
          <w:sz w:val="18"/>
          <w:szCs w:val="22"/>
          <w:rtl/>
          <w:lang w:bidi="fa-IR"/>
        </w:rPr>
        <w:t xml:space="preserve"> ا</w:t>
      </w:r>
      <w:r w:rsidRPr="00F347D1">
        <w:rPr>
          <w:rFonts w:hint="cs"/>
          <w:sz w:val="18"/>
          <w:szCs w:val="22"/>
          <w:rtl/>
          <w:lang w:bidi="fa-IR"/>
        </w:rPr>
        <w:t>ی</w:t>
      </w:r>
      <w:r w:rsidRPr="00F347D1">
        <w:rPr>
          <w:rFonts w:hint="eastAsia"/>
          <w:sz w:val="18"/>
          <w:szCs w:val="22"/>
          <w:rtl/>
          <w:lang w:bidi="fa-IR"/>
        </w:rPr>
        <w:t>ران</w:t>
      </w:r>
      <w:r w:rsidRPr="00F347D1">
        <w:rPr>
          <w:sz w:val="18"/>
          <w:szCs w:val="22"/>
          <w:rtl/>
          <w:lang w:bidi="fa-IR"/>
        </w:rPr>
        <w:t>.</w:t>
      </w:r>
    </w:p>
    <w:p w14:paraId="6433CC9F" w14:textId="77777777" w:rsidR="00F06176" w:rsidRPr="00F347D1" w:rsidRDefault="00F06176" w:rsidP="00F06176">
      <w:pPr>
        <w:spacing w:after="40"/>
        <w:rPr>
          <w:sz w:val="18"/>
          <w:szCs w:val="22"/>
          <w:lang w:bidi="fa-IR"/>
        </w:rPr>
      </w:pPr>
      <w:r w:rsidRPr="00D04E78">
        <w:rPr>
          <w:rFonts w:hint="cs"/>
          <w:sz w:val="18"/>
          <w:szCs w:val="22"/>
          <w:vertAlign w:val="superscript"/>
          <w:rtl/>
          <w:lang w:bidi="fa-IR"/>
        </w:rPr>
        <w:t>5</w:t>
      </w:r>
      <w:r w:rsidRPr="00F347D1">
        <w:rPr>
          <w:rFonts w:hint="eastAsia"/>
          <w:sz w:val="18"/>
          <w:szCs w:val="22"/>
          <w:rtl/>
          <w:lang w:bidi="fa-IR"/>
        </w:rPr>
        <w:t>مرکز</w:t>
      </w:r>
      <w:r w:rsidRPr="00F347D1">
        <w:rPr>
          <w:sz w:val="18"/>
          <w:szCs w:val="22"/>
          <w:rtl/>
          <w:lang w:bidi="fa-IR"/>
        </w:rPr>
        <w:t xml:space="preserve"> تحق</w:t>
      </w:r>
      <w:r w:rsidRPr="00F347D1">
        <w:rPr>
          <w:rFonts w:hint="cs"/>
          <w:sz w:val="18"/>
          <w:szCs w:val="22"/>
          <w:rtl/>
          <w:lang w:bidi="fa-IR"/>
        </w:rPr>
        <w:t>ی</w:t>
      </w:r>
      <w:r w:rsidRPr="00F347D1">
        <w:rPr>
          <w:rFonts w:hint="eastAsia"/>
          <w:sz w:val="18"/>
          <w:szCs w:val="22"/>
          <w:rtl/>
          <w:lang w:bidi="fa-IR"/>
        </w:rPr>
        <w:t>قات</w:t>
      </w:r>
      <w:r w:rsidRPr="00F347D1">
        <w:rPr>
          <w:sz w:val="18"/>
          <w:szCs w:val="22"/>
          <w:rtl/>
          <w:lang w:bidi="fa-IR"/>
        </w:rPr>
        <w:t xml:space="preserve"> سلامت و </w:t>
      </w:r>
      <w:r>
        <w:rPr>
          <w:sz w:val="18"/>
          <w:szCs w:val="22"/>
          <w:rtl/>
          <w:lang w:bidi="fa-IR"/>
        </w:rPr>
        <w:t>محیط‌زیست</w:t>
      </w:r>
      <w:r w:rsidRPr="00F347D1">
        <w:rPr>
          <w:rFonts w:hint="eastAsia"/>
          <w:sz w:val="18"/>
          <w:szCs w:val="22"/>
          <w:rtl/>
          <w:lang w:bidi="fa-IR"/>
        </w:rPr>
        <w:t>،</w:t>
      </w:r>
      <w:r w:rsidRPr="00F347D1">
        <w:rPr>
          <w:sz w:val="18"/>
          <w:szCs w:val="22"/>
          <w:rtl/>
          <w:lang w:bidi="fa-IR"/>
        </w:rPr>
        <w:t xml:space="preserve"> دانشگاه علوم پزشک</w:t>
      </w:r>
      <w:r w:rsidRPr="00F347D1">
        <w:rPr>
          <w:rFonts w:hint="cs"/>
          <w:sz w:val="18"/>
          <w:szCs w:val="22"/>
          <w:rtl/>
          <w:lang w:bidi="fa-IR"/>
        </w:rPr>
        <w:t>ی</w:t>
      </w:r>
      <w:r w:rsidRPr="00F347D1">
        <w:rPr>
          <w:sz w:val="18"/>
          <w:szCs w:val="22"/>
          <w:rtl/>
          <w:lang w:bidi="fa-IR"/>
        </w:rPr>
        <w:t xml:space="preserve"> تبر</w:t>
      </w:r>
      <w:r w:rsidRPr="00F347D1">
        <w:rPr>
          <w:rFonts w:hint="cs"/>
          <w:sz w:val="18"/>
          <w:szCs w:val="22"/>
          <w:rtl/>
          <w:lang w:bidi="fa-IR"/>
        </w:rPr>
        <w:t>ی</w:t>
      </w:r>
      <w:r w:rsidRPr="00F347D1">
        <w:rPr>
          <w:rFonts w:hint="eastAsia"/>
          <w:sz w:val="18"/>
          <w:szCs w:val="22"/>
          <w:rtl/>
          <w:lang w:bidi="fa-IR"/>
        </w:rPr>
        <w:t>ز،</w:t>
      </w:r>
      <w:r w:rsidRPr="00F347D1">
        <w:rPr>
          <w:sz w:val="18"/>
          <w:szCs w:val="22"/>
          <w:rtl/>
          <w:lang w:bidi="fa-IR"/>
        </w:rPr>
        <w:t xml:space="preserve"> تبر</w:t>
      </w:r>
      <w:r w:rsidRPr="00F347D1">
        <w:rPr>
          <w:rFonts w:hint="cs"/>
          <w:sz w:val="18"/>
          <w:szCs w:val="22"/>
          <w:rtl/>
          <w:lang w:bidi="fa-IR"/>
        </w:rPr>
        <w:t>ی</w:t>
      </w:r>
      <w:r w:rsidRPr="00F347D1">
        <w:rPr>
          <w:rFonts w:hint="eastAsia"/>
          <w:sz w:val="18"/>
          <w:szCs w:val="22"/>
          <w:rtl/>
          <w:lang w:bidi="fa-IR"/>
        </w:rPr>
        <w:t>ز،</w:t>
      </w:r>
      <w:r w:rsidRPr="00F347D1">
        <w:rPr>
          <w:sz w:val="18"/>
          <w:szCs w:val="22"/>
          <w:rtl/>
          <w:lang w:bidi="fa-IR"/>
        </w:rPr>
        <w:t xml:space="preserve"> ا</w:t>
      </w:r>
      <w:r w:rsidRPr="00F347D1">
        <w:rPr>
          <w:rFonts w:hint="cs"/>
          <w:sz w:val="18"/>
          <w:szCs w:val="22"/>
          <w:rtl/>
          <w:lang w:bidi="fa-IR"/>
        </w:rPr>
        <w:t>ی</w:t>
      </w:r>
      <w:r w:rsidRPr="00F347D1">
        <w:rPr>
          <w:rFonts w:hint="eastAsia"/>
          <w:sz w:val="18"/>
          <w:szCs w:val="22"/>
          <w:rtl/>
          <w:lang w:bidi="fa-IR"/>
        </w:rPr>
        <w:t>ران</w:t>
      </w:r>
      <w:r w:rsidRPr="00F347D1">
        <w:rPr>
          <w:sz w:val="18"/>
          <w:szCs w:val="22"/>
          <w:rtl/>
          <w:lang w:bidi="fa-IR"/>
        </w:rPr>
        <w:t>.</w:t>
      </w:r>
    </w:p>
    <w:p w14:paraId="323DDC69" w14:textId="77777777" w:rsidR="00F06176" w:rsidRPr="00071688" w:rsidRDefault="00F06176" w:rsidP="00E1609B">
      <w:pPr>
        <w:pStyle w:val="Heading2"/>
      </w:pPr>
      <w:r w:rsidRPr="00071688">
        <w:rPr>
          <w:rtl/>
        </w:rPr>
        <w:t>چکیده</w:t>
      </w:r>
    </w:p>
    <w:p w14:paraId="0A3D6A29" w14:textId="77777777" w:rsidR="00CB0E1C" w:rsidRPr="00CB0E1C" w:rsidRDefault="00CB0E1C" w:rsidP="00CB0E1C">
      <w:pPr>
        <w:rPr>
          <w:rFonts w:eastAsiaTheme="minorHAnsi"/>
          <w:rtl/>
        </w:rPr>
      </w:pPr>
      <w:r w:rsidRPr="00CB0E1C">
        <w:rPr>
          <w:rFonts w:eastAsiaTheme="minorHAnsi"/>
          <w:rtl/>
        </w:rPr>
        <w:t xml:space="preserve">این پژوهش با هدف ارزیابی راهبردی محیطزیست توسعه و بهره‌برداری معدن مس سونگون در استان آذربایجان شرقی و شناسایی تفاوت‌های فضایی در تناسب محیط‌زیستی محدوده برای پشتیبانی از برنامه‌ریزی راهبردی توسعه معدن انجام شد. چارچوب تلفیقی </w:t>
      </w:r>
      <w:r w:rsidRPr="00CB0E1C">
        <w:rPr>
          <w:rFonts w:eastAsiaTheme="minorHAnsi"/>
        </w:rPr>
        <w:t>SEA–GIS–AHP</w:t>
      </w:r>
      <w:r w:rsidRPr="00CB0E1C">
        <w:rPr>
          <w:rFonts w:eastAsiaTheme="minorHAnsi"/>
          <w:rtl/>
        </w:rPr>
        <w:t xml:space="preserve"> برای غربالگری اولیه پهنه‌های حساس و کم‌تعارض، پیش از تصمیم‌گیری‌های تفصیلی در سطح پروژه، به‌کار رفت. محدوده مطالعه 89/6463 هکتار از معدن مس سونگون و عرصه‌های پیرامونی آن در شهرستان ورزقان بود. داده‌ها در </w:t>
      </w:r>
      <w:r w:rsidRPr="00CB0E1C">
        <w:rPr>
          <w:rFonts w:eastAsiaTheme="minorHAnsi"/>
        </w:rPr>
        <w:t>ArcGIS Pro</w:t>
      </w:r>
      <w:r w:rsidRPr="00CB0E1C">
        <w:rPr>
          <w:rFonts w:eastAsiaTheme="minorHAnsi"/>
          <w:rtl/>
        </w:rPr>
        <w:t xml:space="preserve"> و در سیستم مختصات </w:t>
      </w:r>
      <w:r w:rsidRPr="00CB0E1C">
        <w:rPr>
          <w:rFonts w:eastAsiaTheme="minorHAnsi"/>
        </w:rPr>
        <w:t>WGS 1984 UTM Zone 38N (EPSG:32638)</w:t>
      </w:r>
      <w:r w:rsidRPr="00CB0E1C">
        <w:rPr>
          <w:rFonts w:eastAsiaTheme="minorHAnsi"/>
          <w:rtl/>
        </w:rPr>
        <w:t xml:space="preserve"> با اندازه سلول 30×30 متر آماده‌سازی و تحلیل شدند. هفت معیار شامل فاصله از منابع آب، آبراهه‌ها، سکونتگاه‌ها، راه‌ها، شیب، پوشش و کاربری اراضی و مناطق حفاظت‌شده انتخاب و در مقیاس پنج‌درجه‌ای استاندارد شدند. معیارهای فاصله‌ای با فاصله اقلیدسی، شیب از مدل رقومی ارتفاع و پوشش و کاربری اراضی از داده‌های مکانی استخراج شد. وزن معیارها با مقایسات زوجی </w:t>
      </w:r>
      <w:r w:rsidRPr="00CB0E1C">
        <w:rPr>
          <w:rFonts w:eastAsiaTheme="minorHAnsi"/>
        </w:rPr>
        <w:t>AHP</w:t>
      </w:r>
      <w:r w:rsidRPr="00CB0E1C">
        <w:rPr>
          <w:rFonts w:eastAsiaTheme="minorHAnsi"/>
          <w:rtl/>
        </w:rPr>
        <w:t xml:space="preserve"> و قضاوت خبرگان تعیین گردید. فاصله از منابع آب با وزن 243</w:t>
      </w:r>
      <w:r w:rsidRPr="00CB0E1C">
        <w:rPr>
          <w:rFonts w:eastAsiaTheme="minorHAnsi"/>
        </w:rPr>
        <w:t>/</w:t>
      </w:r>
      <w:r w:rsidRPr="00CB0E1C">
        <w:rPr>
          <w:rFonts w:eastAsiaTheme="minorHAnsi"/>
          <w:rtl/>
        </w:rPr>
        <w:t xml:space="preserve">0 بیشترین اهمیت را داشت و پس از آن پوشش و کاربری اراضی 189/0 و فاصله از آبراهه‌ها 147/0 قرار گرفتند؛ وزن سکونتگاه‌ها 124/0، راه‌ها 106/0، شیب 098/0 و مناطق حفاظت‌شده 093/0 بود. نرخ ناسازگاری 08/0 نشان‌دهنده سازگاری قابل قبول ماتریس مقایسات است. در ادامه، لایه‌های استانداردشده با همپوشانی وزنی تلفیق و شاخص تناسب محیط‌زیستی در پنج طبقه نسبی تولید شد. از کل محدوده، 26/1396 هکتار (60/21 درصد) بسیار نامناسب، 88/1856 هکتار (73/28 درصد) نامناسب، 90/1809هکتار (00/28 درصد) متوسط، 16/650 هکتار (06/10 درصد) مناسب و 69/750 هکتار (61/11 درصد) بسیار مناسب قرار دارند. در مجموع، 33/50 درصد </w:t>
      </w:r>
      <w:r w:rsidRPr="00CB0E1C">
        <w:rPr>
          <w:rFonts w:eastAsiaTheme="minorHAnsi"/>
          <w:rtl/>
        </w:rPr>
        <w:lastRenderedPageBreak/>
        <w:t xml:space="preserve">محدوده در دو طبقه نامناسب و بسیار نامناسب و 67/21 درصد در دو طبقه مناسب و بسیار مناسب قرار گرفته است. نتایج بر ناهمگونی فضایی محدودیت‌های محیط‌زیستی و ضرورت حفاظت از منابع آب، پوشش و کاربری‌های حساس، سکونتگاه‌ها و مناطق حفاظت‌شده تأکید دارد. نقشه تناسب حاصل ابزار غربالگری و تصمیم‌یار فضایی است و به‌منزله مجوز زیست‌محیطی نیست؛ پهنه‌های مناسب نیز پیش از تصمیم نهایی به مطالعات هیدروژئولوژیک، ژئوتکنیکی، محیط‌زیستی، </w:t>
      </w:r>
      <w:r w:rsidRPr="00CB0E1C">
        <w:rPr>
          <w:rFonts w:eastAsiaTheme="minorHAnsi"/>
        </w:rPr>
        <w:t>HSE</w:t>
      </w:r>
      <w:r w:rsidRPr="00CB0E1C">
        <w:rPr>
          <w:rFonts w:eastAsiaTheme="minorHAnsi"/>
          <w:rtl/>
        </w:rPr>
        <w:t xml:space="preserve"> و حقوقی نیاز دارند.</w:t>
      </w:r>
    </w:p>
    <w:p w14:paraId="711E5B57" w14:textId="77777777" w:rsidR="00CB0E1C" w:rsidRPr="00CB0E1C" w:rsidRDefault="00CB0E1C" w:rsidP="00CB0E1C">
      <w:pPr>
        <w:rPr>
          <w:rFonts w:eastAsiaTheme="minorHAnsi"/>
        </w:rPr>
      </w:pPr>
      <w:r w:rsidRPr="00CB0E1C">
        <w:rPr>
          <w:rFonts w:eastAsiaTheme="minorHAnsi"/>
          <w:b/>
          <w:bCs/>
          <w:rtl/>
        </w:rPr>
        <w:t>واژگان کلیدی</w:t>
      </w:r>
      <w:r w:rsidRPr="00CB0E1C">
        <w:rPr>
          <w:rFonts w:eastAsiaTheme="minorHAnsi"/>
          <w:b/>
          <w:bCs/>
        </w:rPr>
        <w:t>:</w:t>
      </w:r>
      <w:r w:rsidRPr="00CB0E1C">
        <w:rPr>
          <w:rFonts w:eastAsiaTheme="minorHAnsi"/>
        </w:rPr>
        <w:t xml:space="preserve"> </w:t>
      </w:r>
      <w:r w:rsidRPr="00CB0E1C">
        <w:rPr>
          <w:rFonts w:eastAsiaTheme="minorHAnsi"/>
          <w:rtl/>
        </w:rPr>
        <w:t>ارزیابی راهبردی محیط‌زیست، معدن مس سونگون، سامانه اطلاعات جغرافیایی، فرآیند تحلیل سلسله‌مراتبی، تناسب محیط‌زیستی، برنامه‌ریزی فضایی</w:t>
      </w:r>
    </w:p>
    <w:p w14:paraId="34A31E81" w14:textId="77777777" w:rsidR="00462C54" w:rsidRPr="00462C54" w:rsidRDefault="00462C54" w:rsidP="00E1609B">
      <w:pPr>
        <w:pStyle w:val="Heading2"/>
      </w:pPr>
      <w:r w:rsidRPr="00462C54">
        <w:rPr>
          <w:rtl/>
        </w:rPr>
        <w:t>مقدمه</w:t>
      </w:r>
    </w:p>
    <w:p w14:paraId="70D6051D" w14:textId="77777777" w:rsidR="00462C54" w:rsidRPr="00462C54" w:rsidRDefault="00462C54" w:rsidP="00E869FF">
      <w:pPr>
        <w:spacing w:after="40"/>
      </w:pPr>
      <w:r w:rsidRPr="00462C54">
        <w:rPr>
          <w:rtl/>
        </w:rPr>
        <w:t>افزایش تقاضا برای مواد معدنی و نقش فلزات اساسی در توسعه صنعتی، زیرساختی و گذار انرژی، موجب گسترش فعالیت‌های اکتشافی و استخراجی در بسیاری از مناطق جهان شده است</w:t>
      </w:r>
      <w:r w:rsidR="0054678E">
        <w:rPr>
          <w:rtl/>
        </w:rPr>
        <w:fldChar w:fldCharType="begin">
          <w:fldData xml:space="preserve">PEVuZE5vdGU+PENpdGU+PEF1dGhvcj5VLlMuIEdlb2xvZ2ljYWwgU3VydmV5PC9BdXRob3I+PFll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==
</w:fldData>
        </w:fldChar>
      </w:r>
      <w:r w:rsidR="0054678E">
        <w:rPr>
          <w:rtl/>
        </w:rPr>
        <w:instrText xml:space="preserve"> </w:instrText>
      </w:r>
      <w:r w:rsidR="0054678E">
        <w:instrText>ADDIN EN.JS.CITE</w:instrText>
      </w:r>
      <w:r w:rsidR="0054678E">
        <w:rPr>
          <w:rtl/>
        </w:rPr>
        <w:instrText xml:space="preserve"> </w:instrText>
      </w:r>
      <w:r w:rsidR="0054678E">
        <w:rPr>
          <w:rtl/>
        </w:rPr>
      </w:r>
      <w:r w:rsidR="0054678E">
        <w:rPr>
          <w:rtl/>
        </w:rPr>
        <w:fldChar w:fldCharType="separate"/>
      </w:r>
      <w:r w:rsidR="0054678E">
        <w:rPr>
          <w:noProof/>
          <w:rtl/>
        </w:rPr>
        <w:t>(</w:t>
      </w:r>
      <w:r w:rsidR="0054678E">
        <w:rPr>
          <w:noProof/>
        </w:rPr>
        <w:t>U.S. Geological Survey, 2025</w:t>
      </w:r>
      <w:r w:rsidR="0054678E">
        <w:rPr>
          <w:noProof/>
          <w:rtl/>
        </w:rPr>
        <w:t>)</w:t>
      </w:r>
      <w:r w:rsidR="0054678E">
        <w:rPr>
          <w:rtl/>
        </w:rPr>
        <w:fldChar w:fldCharType="end"/>
      </w:r>
      <w:r w:rsidRPr="00462C54">
        <w:rPr>
          <w:rtl/>
        </w:rPr>
        <w:t>. در میان فلزات پایه، مس به دلیل کاربرد گسترده در تولید و انتقال برق، تجهیزات الکترونیکی، صنایع انرژی، حمل‌ونقل و فناوری‌های نوین، جایگاهی راهبردی در اقتصاد جهانی دارد. افزایش سرمایه‌گذاری در شبکه‌های برق، انرژی‌های تجدیدپذیر، وسایل نقلیه برقی و فناوری‌های مرتبط با گذار انرژی نیز اهمیت مس را در زنجیره تأمین مواد معدنی افزایش داده است. در نتیجه، تأمین پایدار مس و توسعه ظرفیت‌های استخراج و فرآوری آن به یکی از موضوعات مهم برنامه‌ریزی صنعتی و سرزمینی تبدیل شده است</w:t>
      </w:r>
      <w:r w:rsidR="0054678E">
        <w:rPr>
          <w:rtl/>
        </w:rPr>
        <w:fldChar w:fldCharType="begin">
          <w:fldData xml:space="preserve">PEVuZE5vdGU+PENpdGU+PEF1dGhvcj5JbnRlcm5hdGlvbmFsIEVuZXJneSBBZ2VuY3k8L0F1dGhv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</w:fldData>
        </w:fldChar>
      </w:r>
      <w:r w:rsidR="0054678E">
        <w:rPr>
          <w:rtl/>
        </w:rPr>
        <w:instrText xml:space="preserve"> </w:instrText>
      </w:r>
      <w:r w:rsidR="0054678E">
        <w:instrText>ADDIN EN.JS.CITE</w:instrText>
      </w:r>
      <w:r w:rsidR="0054678E">
        <w:rPr>
          <w:rtl/>
        </w:rPr>
        <w:instrText xml:space="preserve"> </w:instrText>
      </w:r>
      <w:r w:rsidR="0054678E">
        <w:rPr>
          <w:rtl/>
        </w:rPr>
      </w:r>
      <w:r w:rsidR="0054678E">
        <w:rPr>
          <w:rtl/>
        </w:rPr>
        <w:fldChar w:fldCharType="separate"/>
      </w:r>
      <w:r w:rsidR="0054678E">
        <w:rPr>
          <w:rFonts w:hint="cs"/>
          <w:noProof/>
          <w:rtl/>
        </w:rPr>
        <w:t>(</w:t>
      </w:r>
      <w:r w:rsidR="0054678E">
        <w:rPr>
          <w:rFonts w:hint="cs"/>
          <w:noProof/>
        </w:rPr>
        <w:t>International Energy Agency, 2025</w:t>
      </w:r>
      <w:r w:rsidR="0054678E">
        <w:rPr>
          <w:rFonts w:hint="cs"/>
          <w:noProof/>
          <w:rtl/>
        </w:rPr>
        <w:t>)</w:t>
      </w:r>
      <w:r w:rsidR="0054678E">
        <w:rPr>
          <w:rtl/>
        </w:rPr>
        <w:fldChar w:fldCharType="end"/>
      </w:r>
      <w:r w:rsidR="00BF2EEE">
        <w:rPr>
          <w:rFonts w:hint="cs"/>
          <w:rtl/>
        </w:rPr>
        <w:t>.</w:t>
      </w:r>
      <w:r w:rsidRPr="00462C54">
        <w:t xml:space="preserve"> </w:t>
      </w:r>
    </w:p>
    <w:p w14:paraId="5D8F29F6" w14:textId="77777777" w:rsidR="00462C54" w:rsidRPr="00462C54" w:rsidRDefault="00462C54" w:rsidP="00BF2EEE">
      <w:pPr>
        <w:spacing w:after="40"/>
      </w:pPr>
      <w:r w:rsidRPr="00462C54">
        <w:rPr>
          <w:rtl/>
        </w:rPr>
        <w:t>با وجود اهمیت اقتصادی و راهبردی مس، توسعه فعالیت‌های معدنی می‌تواند فشار قابل‌توجهی بر اجزای مختلف محیط‌زیست وارد کند. عملیات استخراج روباز، برداشت و جابه‌جایی حجم زیادی از مواد، ایجاد سنگ باطله و باطله فرآوری، مصرف آب و انرژی، تغییر شکل زمین و تخریب پوشش گیاهی از جمله پیامدهای بالقوه فعالیت‌های معدنی هستند. همچنین، مدیریت نامناسب باطله‌ها و پساب‌ها می‌تواند زمینه آلودگی آب و خاک و انتشار برخی عناصر بالقوه سمی را فراهم کند</w:t>
      </w:r>
      <w:r w:rsidR="0054678E">
        <w:rPr>
          <w:rtl/>
        </w:rPr>
        <w:fldChar w:fldCharType="begin">
          <w:fldData xml:space="preserve">PEVuZE5vdGU+PENpdGU+PEF1dGhvcj5IaWxzb248L0F1dGhvcj48WWVhcj4yMDAyPC9ZZWFyPjxS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</w:fldData>
        </w:fldChar>
      </w:r>
      <w:r w:rsidR="0054678E">
        <w:rPr>
          <w:rtl/>
        </w:rPr>
        <w:instrText xml:space="preserve"> </w:instrText>
      </w:r>
      <w:r w:rsidR="0054678E">
        <w:instrText>ADDIN EN.JS.CITE</w:instrText>
      </w:r>
      <w:r w:rsidR="0054678E">
        <w:rPr>
          <w:rtl/>
        </w:rPr>
        <w:instrText xml:space="preserve"> </w:instrText>
      </w:r>
      <w:r w:rsidR="0054678E">
        <w:rPr>
          <w:rtl/>
        </w:rPr>
      </w:r>
      <w:r w:rsidR="0054678E">
        <w:rPr>
          <w:rtl/>
        </w:rPr>
        <w:fldChar w:fldCharType="separate"/>
      </w:r>
      <w:r w:rsidR="0054678E">
        <w:rPr>
          <w:rFonts w:hint="cs"/>
          <w:noProof/>
          <w:rtl/>
        </w:rPr>
        <w:t>(</w:t>
      </w:r>
      <w:r w:rsidR="0054678E">
        <w:rPr>
          <w:rFonts w:hint="cs"/>
          <w:noProof/>
        </w:rPr>
        <w:t>Hilson, 2002; Lottermoser, 2010</w:t>
      </w:r>
      <w:r w:rsidR="0054678E">
        <w:rPr>
          <w:rFonts w:hint="cs"/>
          <w:noProof/>
          <w:rtl/>
        </w:rPr>
        <w:t>)</w:t>
      </w:r>
      <w:r w:rsidR="0054678E">
        <w:rPr>
          <w:rtl/>
        </w:rPr>
        <w:fldChar w:fldCharType="end"/>
      </w:r>
      <w:r w:rsidR="00BF2EEE">
        <w:rPr>
          <w:rFonts w:hint="cs"/>
          <w:rtl/>
        </w:rPr>
        <w:t>.</w:t>
      </w:r>
      <w:r w:rsidRPr="00462C54">
        <w:t xml:space="preserve"> </w:t>
      </w:r>
      <w:r w:rsidRPr="00462C54">
        <w:rPr>
          <w:rtl/>
        </w:rPr>
        <w:t>از این‌رو، توسعه معدنکاری در مناطق حساس از نظر منابع آب، پوشش گیاهی، تنوع زیستی و سکونتگاه‌های انسانی، نیازمند توجه همزمان به ظرفیت اقتصادی و ظرفیت محیط‌زیستی سرزمین است</w:t>
      </w:r>
      <w:r w:rsidRPr="00462C54">
        <w:t xml:space="preserve">. </w:t>
      </w:r>
    </w:p>
    <w:p w14:paraId="5849A918" w14:textId="5387DC6E" w:rsidR="00FB6013" w:rsidRDefault="00FB6013" w:rsidP="003854BC">
      <w:pPr>
        <w:spacing w:after="40"/>
        <w:rPr>
          <w:rFonts w:cs="Times New Roman"/>
          <w:sz w:val="24"/>
          <w:szCs w:val="24"/>
          <w:rtl/>
        </w:rPr>
      </w:pPr>
      <w:r>
        <w:rPr>
          <w:rtl/>
        </w:rPr>
        <w:t>چالش‌های معاصر صنعت مس تنها به آثار مستقیم استخراج محدود نیستند و کاهش عیار کانسنگ، افزایش حجم ماده معدنی مورد نیاز، مصرف آب و انرژی، مدیریت باطله‌ها، انتشار گازهای گلخانه‌ای و حفاظت از منابع آب و اکوسیستم‌های حساس، همزمان با توسعه ظرفیت تولید اهمیت یافته‌اند. گزارش آژانس بین‌المللی انرژی نیز بر نقش عیار کانسنگ، مصرف منابع و محدودیت آب در پایداری زنجیره تأمین مواد معدنی تأکید دارد</w:t>
      </w:r>
      <w:r>
        <w:t>(International Energy Agency, 2021)</w:t>
      </w:r>
      <w:r>
        <w:rPr>
          <w:rtl/>
        </w:rPr>
        <w:t>. بنابراین، توسعه معادن مس باید علاوه بر ظرفیت تولید، با محدودیت‌ها و ظرفیت‌های محیط‌زیستی سرزمین هماهنگ شود.</w:t>
      </w:r>
    </w:p>
    <w:p w14:paraId="1CE8D8AF" w14:textId="1E20440D" w:rsidR="00462C54" w:rsidRPr="003E0867" w:rsidRDefault="00FB6013" w:rsidP="002A140B">
      <w:pPr>
        <w:spacing w:after="40"/>
        <w:rPr>
          <w:rtl/>
          <w:lang w:bidi="fa-IR"/>
        </w:rPr>
      </w:pPr>
      <w:r>
        <w:rPr>
          <w:rtl/>
        </w:rPr>
        <w:t>تحولات فناوری در صنعت معدن نیز امکان استفاده از اتوماسیون، پایش برخط و فناوری‌های پیشرفته استخراج و فرآوری را فراهم کرده است. شواهد نشان می‌دهد که برخی فناوری‌ها، از جمله اتوماسیون، می‌توانند بخشی از فشارهای محیط‌زیستی معادن مس را کاهش دهند</w:t>
      </w:r>
      <w:r>
        <w:t>(Moreau et al., 2021; Gholami et al., 2024; Jianchun, 2024)</w:t>
      </w:r>
      <w:r>
        <w:rPr>
          <w:rtl/>
        </w:rPr>
        <w:t xml:space="preserve">. بااین‌حال، </w:t>
      </w:r>
      <w:r>
        <w:rPr>
          <w:rtl/>
        </w:rPr>
        <w:lastRenderedPageBreak/>
        <w:t>فناوری به‌تنهایی جایگزین برنامه‌ریزی فضایی و ارزیابی محیط‌زیستی نیست و اثربخشی آن به نحوه ادغام با مدیریت منابع، کنترل فرایند و الزامات نظارتی وابسته است. ازاین‌رو، در پژوهش حاضر تمرکز اصلی بر غربالگری فضایی و تعیین محدودیت‌های محیط‌زیستی است، در حالی که انتخاب فناوری به‌عنوان مکمل راهبرد فضایی در بخش بحث و پیشنهادها مورد توجه قرار می‌گیرد.</w:t>
      </w:r>
    </w:p>
    <w:p w14:paraId="2BCD78AF" w14:textId="56DF6343" w:rsidR="00462C54" w:rsidRPr="00462C54" w:rsidRDefault="00462C54" w:rsidP="00661549">
      <w:pPr>
        <w:spacing w:after="40"/>
      </w:pPr>
      <w:r w:rsidRPr="00462C54">
        <w:rPr>
          <w:rtl/>
        </w:rPr>
        <w:t>در ایران نیز پیامدهای محیط‌زیستی فعالیت‌های معدنی در مطالعات محلی مورد توجه قرار گرفته است. گزارش ارزیابی آثار و پیامدهای زیست‌محیطی طرح‌های معدنی با تأکید بر معادن مس و طلا در استان آذربایجان شرقی، که توسط مرکز تحقیقات سلامت و محیط‌زیست دانشگاه علوم پزشکی تبریز تهیه شده، طیف متنوعی از آثار فعالیت‌های معدنی را در استان بررسی کرده است. این گزارش شش معدن مس سونگون، مزرعه، باشماق، انجرد، چشمه‌کنان و سوناجیل را مورد ارزیابی قرار داده و مؤلفه‌هایی از جمله منابع آب، خاک، پوشش گیاهی، کیفیت هوا، تولید باطله، پساب و تغییر کاربری اراضی را مورد توجه قرار داده است</w:t>
      </w:r>
      <w:r w:rsidR="00531789" w:rsidRPr="00AF08A4">
        <w:rPr>
          <w:rtl/>
        </w:rPr>
        <w:t>(</w:t>
      </w:r>
      <w:r w:rsidR="00531789" w:rsidRPr="00AF08A4">
        <w:t>Mosaferi, 2022</w:t>
      </w:r>
      <w:r w:rsidR="00531789" w:rsidRPr="00AF08A4">
        <w:rPr>
          <w:rtl/>
        </w:rPr>
        <w:t>)</w:t>
      </w:r>
      <w:r w:rsidR="00531789">
        <w:rPr>
          <w:rFonts w:hint="cs"/>
          <w:rtl/>
        </w:rPr>
        <w:t>.</w:t>
      </w:r>
    </w:p>
    <w:p w14:paraId="049B9384" w14:textId="09F6D599" w:rsidR="00462C54" w:rsidRPr="00462C54" w:rsidRDefault="00462C54" w:rsidP="00661549">
      <w:pPr>
        <w:spacing w:after="40"/>
        <w:rPr>
          <w:rtl/>
        </w:rPr>
      </w:pPr>
      <w:r>
        <w:rPr>
          <w:rtl/>
        </w:rPr>
        <w:t xml:space="preserve">اهمیت موضوع زمانی بیشتر می‌شود که فعالیت‌های معدنی در مجاورت منابع آب، سکونتگاه‌ها، راه‌های ارتباطی، پوشش‌های طبیعی و مناطق حساس محیط‌زیستی قرار داشته باشند. در چنین شرایطی، ارزیابی صرفاً پروژه‌محور نمی‌تواند همه محدودیت‌های سرزمینی را آشکار کند. </w:t>
      </w:r>
      <w:r w:rsidRPr="00D055AC">
        <w:rPr>
          <w:rFonts w:asciiTheme="majorBidi" w:hAnsiTheme="majorBidi" w:cstheme="majorBidi"/>
          <w:sz w:val="18"/>
          <w:szCs w:val="22"/>
          <w:rtl/>
        </w:rPr>
        <w:t>GIS</w:t>
      </w:r>
      <w:r w:rsidRPr="00D055AC">
        <w:rPr>
          <w:sz w:val="18"/>
          <w:szCs w:val="22"/>
          <w:rtl/>
        </w:rPr>
        <w:t xml:space="preserve"> </w:t>
      </w:r>
      <w:r>
        <w:rPr>
          <w:rtl/>
        </w:rPr>
        <w:t xml:space="preserve">امکان گردآوری، استانداردسازی و تلفیق داده‌های مکانی را فراهم می‌کند و </w:t>
      </w:r>
      <w:r w:rsidRPr="00D055AC">
        <w:rPr>
          <w:rFonts w:asciiTheme="majorBidi" w:hAnsiTheme="majorBidi" w:cstheme="majorBidi"/>
          <w:sz w:val="18"/>
          <w:szCs w:val="22"/>
          <w:rtl/>
        </w:rPr>
        <w:t>AHP</w:t>
      </w:r>
      <w:r>
        <w:rPr>
          <w:rtl/>
        </w:rPr>
        <w:t xml:space="preserve"> نیز می‌تواند اهمیت نسبی معیارهای ناهمگون را به وزن‌های کمی تبدیل </w:t>
      </w:r>
      <w:r w:rsidR="00D055AC">
        <w:rPr>
          <w:rFonts w:hint="cs"/>
          <w:rtl/>
        </w:rPr>
        <w:t>کند</w:t>
      </w:r>
      <w:r>
        <w:t>(Malczewski, 2006; Malczewski &amp; Rinner, 2015; Saaty, 1980)</w:t>
      </w:r>
      <w:r>
        <w:rPr>
          <w:rtl/>
        </w:rPr>
        <w:t xml:space="preserve">. در نتیجه، تلفیق </w:t>
      </w:r>
      <w:r>
        <w:t>GIS–AHP</w:t>
      </w:r>
      <w:r>
        <w:rPr>
          <w:rtl/>
        </w:rPr>
        <w:t xml:space="preserve"> در چارچوب </w:t>
      </w:r>
      <w:r>
        <w:t>SEA</w:t>
      </w:r>
      <w:r>
        <w:rPr>
          <w:rtl/>
        </w:rPr>
        <w:t xml:space="preserve"> می‌تواند ملاحظات راهبردی محیط‌زیستی را به اطلاعات مکانی قابل استفاده در تصمیم‌گیری تبدیل کند.</w:t>
      </w:r>
    </w:p>
    <w:p w14:paraId="5F76DC6F" w14:textId="77777777" w:rsidR="00462C54" w:rsidRPr="00462C54" w:rsidRDefault="00462C54" w:rsidP="00D9110F">
      <w:pPr>
        <w:spacing w:after="40"/>
      </w:pPr>
      <w:r w:rsidRPr="00462C54">
        <w:rPr>
          <w:rtl/>
        </w:rPr>
        <w:t>با این حال، مکانیابی یا تناسب‌سنجی به‌تنهایی نمی‌تواند جایگزین ارزیابی راهبردی محیط‌زیست باشد. ارزیابی راهبردی محیط‌زیست</w:t>
      </w:r>
      <w:r w:rsidRPr="00462C54">
        <w:t xml:space="preserve"> </w:t>
      </w:r>
      <w:r w:rsidRPr="00D9110F">
        <w:rPr>
          <w:sz w:val="18"/>
          <w:szCs w:val="22"/>
          <w:rtl/>
        </w:rPr>
        <w:t>(</w:t>
      </w:r>
      <w:r w:rsidRPr="00D055AC">
        <w:rPr>
          <w:szCs w:val="28"/>
        </w:rPr>
        <w:t>SEA</w:t>
      </w:r>
      <w:r w:rsidRPr="00D9110F">
        <w:rPr>
          <w:sz w:val="18"/>
          <w:szCs w:val="22"/>
          <w:rtl/>
        </w:rPr>
        <w:t>)</w:t>
      </w:r>
      <w:r w:rsidRPr="00462C54">
        <w:t xml:space="preserve"> </w:t>
      </w:r>
      <w:r w:rsidRPr="00462C54">
        <w:rPr>
          <w:rtl/>
        </w:rPr>
        <w:t>رویکردی پیشگیرانه است که ملاحظات محیط‌زیستی را در سطوح سیاست، برنامه و طرح وارد می‌کند و به جای تمرکز صرف بر پیامدهای یک پروژه منفرد، امکان بررسی گزینه‌های توسعه، محدودیت‌های سرزمینی و پیامدهای تجمعی را در مقیاس بالاتر فراهم می‌سازد</w:t>
      </w:r>
      <w:r w:rsidR="0054678E">
        <w:rPr>
          <w:rtl/>
        </w:rPr>
        <w:fldChar w:fldCharType="begin">
          <w:fldData xml:space="preserve">PEVuZE5vdGU+PENpdGU+PEF1dGhvcj5QYXJ0aWTDoXJpbzwvQXV0aG9yPjxZZWFyPjIwMDA8L1ll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</w:fldData>
        </w:fldChar>
      </w:r>
      <w:r w:rsidR="0054678E">
        <w:rPr>
          <w:rtl/>
        </w:rPr>
        <w:instrText xml:space="preserve"> </w:instrText>
      </w:r>
      <w:r w:rsidR="0054678E">
        <w:instrText>ADDIN EN.JS.CITE</w:instrText>
      </w:r>
      <w:r w:rsidR="0054678E">
        <w:rPr>
          <w:rtl/>
        </w:rPr>
        <w:instrText xml:space="preserve"> </w:instrText>
      </w:r>
      <w:r w:rsidR="0054678E">
        <w:rPr>
          <w:rtl/>
        </w:rPr>
      </w:r>
      <w:r w:rsidR="0054678E">
        <w:rPr>
          <w:rtl/>
        </w:rPr>
        <w:fldChar w:fldCharType="separate"/>
      </w:r>
      <w:r w:rsidR="0054678E">
        <w:rPr>
          <w:rFonts w:hint="cs"/>
          <w:noProof/>
          <w:rtl/>
        </w:rPr>
        <w:t>(</w:t>
      </w:r>
      <w:r w:rsidR="0054678E">
        <w:rPr>
          <w:rFonts w:hint="cs"/>
          <w:noProof/>
        </w:rPr>
        <w:t>Fischer, 2010; Partidário, 2000</w:t>
      </w:r>
      <w:r w:rsidR="0054678E">
        <w:rPr>
          <w:rFonts w:hint="cs"/>
          <w:noProof/>
          <w:rtl/>
        </w:rPr>
        <w:t>)</w:t>
      </w:r>
      <w:r w:rsidR="0054678E">
        <w:rPr>
          <w:rtl/>
        </w:rPr>
        <w:fldChar w:fldCharType="end"/>
      </w:r>
      <w:r w:rsidR="00661549">
        <w:rPr>
          <w:rFonts w:hint="cs"/>
          <w:rtl/>
        </w:rPr>
        <w:t>.</w:t>
      </w:r>
      <w:r w:rsidRPr="00462C54">
        <w:t xml:space="preserve"> </w:t>
      </w:r>
      <w:r w:rsidRPr="00462C54">
        <w:rPr>
          <w:rtl/>
        </w:rPr>
        <w:t>از این منظر، استفاده از</w:t>
      </w:r>
      <w:r w:rsidRPr="00462C54">
        <w:t xml:space="preserve"> AHP–GIS </w:t>
      </w:r>
      <w:r w:rsidRPr="00462C54">
        <w:rPr>
          <w:rtl/>
        </w:rPr>
        <w:t>در چارچوب</w:t>
      </w:r>
      <w:r w:rsidRPr="00462C54">
        <w:t xml:space="preserve"> SEA </w:t>
      </w:r>
      <w:r w:rsidRPr="00462C54">
        <w:rPr>
          <w:rtl/>
        </w:rPr>
        <w:t>می‌تواند ابزاری برای تبدیل ملاحظات راهبردی محیط‌زیستی به اطلاعات مکانی قابل استفاده در فرآیند تصمیم‌گیری باشد</w:t>
      </w:r>
      <w:r w:rsidRPr="00462C54">
        <w:t xml:space="preserve">. </w:t>
      </w:r>
    </w:p>
    <w:p w14:paraId="6DF371FA" w14:textId="77777777" w:rsidR="00462C54" w:rsidRPr="00462C54" w:rsidRDefault="00462C54" w:rsidP="00BF2EEE">
      <w:pPr>
        <w:spacing w:after="40"/>
      </w:pPr>
      <w:r w:rsidRPr="00462C54">
        <w:rPr>
          <w:rtl/>
        </w:rPr>
        <w:t>این موضوع در منطقه سونگون از اهمیت بیشتری برخوردار است. معدن مس سونگون در بستری کوهستانی و در منطقه‌ای با مجموعه‌ای از منابع طبیعی، پوشش‌های گیاهی، منابع آب، سکونتگاه‌های انسانی و عرصه‌های دارای حساسیت محیط‌زیستی قرار گرفته است. ازاین‌رو، هرگونه تصمیم درباره توسعه آتی فعالیت‌های معدنی در این منطقه نیازمند شناخت همزمان محدودیت‌های طبیعی و انسانی و تعیین پهنه‌هایی است که کمترین تعارض را با مؤلفه‌های حساس محیط‌زیست داشته باشند. شواهد حاصل از مطالعات و گزارش‌های محیط‌زیستی منطقه نیز بر اهمیت مؤلفه‌هایی نظیر آب، خاک، پوشش گیاهی و تغییر کاربری اراضی تأکید دارند</w:t>
      </w:r>
      <w:r w:rsidRPr="00462C54">
        <w:t xml:space="preserve">. </w:t>
      </w:r>
    </w:p>
    <w:p w14:paraId="2F6873FD" w14:textId="77777777" w:rsidR="00462C54" w:rsidRPr="00462C54" w:rsidRDefault="00462C54" w:rsidP="00D9110F">
      <w:pPr>
        <w:spacing w:after="40"/>
      </w:pPr>
      <w:r w:rsidRPr="00462C54">
        <w:rPr>
          <w:rtl/>
        </w:rPr>
        <w:t>مرور مطالعات پیشین نشان می‌دهد که</w:t>
      </w:r>
      <w:r w:rsidRPr="00462C54">
        <w:t xml:space="preserve"> AHP–GIS </w:t>
      </w:r>
      <w:r w:rsidRPr="00462C54">
        <w:rPr>
          <w:rtl/>
        </w:rPr>
        <w:t>در مسائل مختلف ارزیابی محیط‌زیستی، مکانیابی و تناسب‌سنجی کاربرد گسترده‌ای یافته است؛ با این حال، در بسیاری از مطالعات، هدف اصلی مکانیابی یا تعیین تناسب یک کاربری بوده و پیوند آن با منطق راهبردی</w:t>
      </w:r>
      <w:r w:rsidRPr="00462C54">
        <w:t xml:space="preserve"> SEA </w:t>
      </w:r>
      <w:r w:rsidRPr="00462C54">
        <w:rPr>
          <w:rtl/>
        </w:rPr>
        <w:t>و شواهد محیط‌زیستی محلی کمتر مورد توجه قرا</w:t>
      </w:r>
      <w:r w:rsidR="00D9110F">
        <w:rPr>
          <w:rtl/>
        </w:rPr>
        <w:t xml:space="preserve">ر گرفته است. </w:t>
      </w:r>
      <w:r w:rsidR="00D9110F">
        <w:rPr>
          <w:rtl/>
        </w:rPr>
        <w:lastRenderedPageBreak/>
        <w:t>ازاین‌رو، خلأ اصلی</w:t>
      </w:r>
      <w:r w:rsidRPr="00462C54">
        <w:rPr>
          <w:rtl/>
        </w:rPr>
        <w:t>، تلفیق چارچوب</w:t>
      </w:r>
      <w:r w:rsidRPr="00462C54">
        <w:t xml:space="preserve"> SEA </w:t>
      </w:r>
      <w:r w:rsidRPr="00462C54">
        <w:rPr>
          <w:rtl/>
        </w:rPr>
        <w:t>با</w:t>
      </w:r>
      <w:r w:rsidRPr="00462C54">
        <w:t xml:space="preserve"> GIS </w:t>
      </w:r>
      <w:r w:rsidRPr="00462C54">
        <w:rPr>
          <w:rtl/>
        </w:rPr>
        <w:t>و</w:t>
      </w:r>
      <w:r w:rsidRPr="00462C54">
        <w:t xml:space="preserve"> AHP </w:t>
      </w:r>
      <w:r w:rsidRPr="00462C54">
        <w:rPr>
          <w:rtl/>
        </w:rPr>
        <w:t>برای ارزیابی فضایی تناسب محیط‌زیستی توسعه معدن مس در منطقه سونگون و استفاده همزمان از معیارهای طبیعی و انسانی برای پشتیبانی از تصمیم‌گیری درباره توسعه آتی معدن است</w:t>
      </w:r>
      <w:r w:rsidRPr="00462C54">
        <w:t xml:space="preserve">. </w:t>
      </w:r>
    </w:p>
    <w:p w14:paraId="5536879A" w14:textId="77777777" w:rsidR="00647DA9" w:rsidRPr="00462C54" w:rsidRDefault="00462C54" w:rsidP="00D055AC">
      <w:pPr>
        <w:rPr>
          <w:rtl/>
        </w:rPr>
      </w:pPr>
      <w:r>
        <w:rPr>
          <w:rtl/>
        </w:rPr>
        <w:t xml:space="preserve">بر این اساس، پژوهش حاضر با هدف ارزیابی راهبردی محیط‌زیست توسعه معدن مس سونگون با استفاده از مدل تلفیقی </w:t>
      </w:r>
      <w:r>
        <w:t>AHP–GIS</w:t>
      </w:r>
      <w:r>
        <w:rPr>
          <w:rtl/>
        </w:rPr>
        <w:t xml:space="preserve"> انجام شد. هدف نهایی، ارائه یک ابزار تصمیم‌یار فضایی برای هدایت توسعه معدن به سمت پهنه‌هایی با حساسیت و تعارض محیط‌زیستی کمتر و فراهم کردن مبنایی برای برنامه‌ریزی پایدار توسعه فعالیت‌های معدنی است.  بر این اساس، سؤال اصلی پژوهش این بود که کدام بخش‌های محدوده پیرامونی معدن مس سونگون از نظر معیارهای منتخب، تناسب نسبی بیشتری برای توسعه آتی دارند و کدام معیارها بیشترین وزن نسبی را در این تصمیم‌گیری فضایی دارند؟</w:t>
      </w:r>
    </w:p>
    <w:p w14:paraId="27FCFEDB" w14:textId="77777777" w:rsidR="00462C54" w:rsidRPr="00462C54" w:rsidRDefault="00462C54" w:rsidP="00E1609B">
      <w:pPr>
        <w:pStyle w:val="Heading2"/>
        <w:rPr>
          <w:rFonts w:eastAsia="Times New Roman"/>
        </w:rPr>
      </w:pPr>
      <w:r>
        <w:rPr>
          <w:rtl/>
        </w:rPr>
        <w:t>مبانی</w:t>
      </w:r>
      <w:r>
        <w:t xml:space="preserve"> </w:t>
      </w:r>
      <w:r>
        <w:rPr>
          <w:rtl/>
        </w:rPr>
        <w:t>نظری</w:t>
      </w:r>
    </w:p>
    <w:p w14:paraId="2FC9DE38" w14:textId="145A1BFB" w:rsidR="00462C54" w:rsidRPr="00462C54" w:rsidRDefault="00462C54" w:rsidP="00B7299B">
      <w:pPr>
        <w:spacing w:after="40"/>
        <w:rPr>
          <w:rtl/>
          <w:lang w:bidi="fa-IR"/>
        </w:rPr>
      </w:pPr>
      <w:r>
        <w:rPr>
          <w:rtl/>
        </w:rPr>
        <w:t xml:space="preserve">تلفیق </w:t>
      </w:r>
      <w:r>
        <w:t>GIS</w:t>
      </w:r>
      <w:r>
        <w:rPr>
          <w:rtl/>
        </w:rPr>
        <w:t xml:space="preserve"> و روش‌های تصمیم‌گیری چندمعیاره (</w:t>
      </w:r>
      <w:r>
        <w:t>MCDA</w:t>
      </w:r>
      <w:r>
        <w:rPr>
          <w:rtl/>
        </w:rPr>
        <w:t xml:space="preserve">) یکی از رویکردهای مهم برای تحلیل مسائل پیچیده فضایی است. </w:t>
      </w:r>
      <w:r>
        <w:t>Carver (1991</w:t>
      </w:r>
      <w:proofErr w:type="gramStart"/>
      <w:r>
        <w:t xml:space="preserve">) </w:t>
      </w:r>
      <w:r w:rsidR="00FF28FD">
        <w:rPr>
          <w:rFonts w:hint="cs"/>
          <w:rtl/>
        </w:rPr>
        <w:t xml:space="preserve"> </w:t>
      </w:r>
      <w:r>
        <w:rPr>
          <w:rtl/>
        </w:rPr>
        <w:t>و</w:t>
      </w:r>
      <w:proofErr w:type="gramEnd"/>
      <w:r>
        <w:t xml:space="preserve"> </w:t>
      </w:r>
      <w:r w:rsidR="00FF28FD">
        <w:t xml:space="preserve"> </w:t>
      </w:r>
      <w:r>
        <w:t>Store and Kangas (2001)</w:t>
      </w:r>
      <w:r>
        <w:rPr>
          <w:rtl/>
        </w:rPr>
        <w:t xml:space="preserve"> نشان دادند که ترکیب اطلاعات مکانی با دانش کارشناسی و ارزیابی چندمعیاره می‌تواند برای تحلیل تناسب فضایی به‌کار رود. </w:t>
      </w:r>
      <w:r>
        <w:t>Malczewski (2006)</w:t>
      </w:r>
      <w:r>
        <w:rPr>
          <w:rtl/>
        </w:rPr>
        <w:t xml:space="preserve"> و </w:t>
      </w:r>
      <w:r>
        <w:t>Malczewski and Rinner (2015)</w:t>
      </w:r>
      <w:r>
        <w:rPr>
          <w:rtl/>
        </w:rPr>
        <w:t xml:space="preserve"> نیز بر قابلیت این رویکرد در ترکیب معیارهای ناهمگون محیطی، اجتماعی و اقتصادی تأکید کردند. در این میان، </w:t>
      </w:r>
      <w:r>
        <w:t>AHP</w:t>
      </w:r>
      <w:r>
        <w:rPr>
          <w:rtl/>
        </w:rPr>
        <w:t xml:space="preserve"> با استفاده از مقایسات زوجی امکان تعیین اهمیت نسبی معیارها و تبدیل قضاوت کارشناسی به وزن‌های کمی را فراهم می‌کند</w:t>
      </w:r>
      <w:r>
        <w:t>(Saaty, 1980)</w:t>
      </w:r>
      <w:r>
        <w:rPr>
          <w:rtl/>
        </w:rPr>
        <w:t>.</w:t>
      </w:r>
    </w:p>
    <w:p w14:paraId="6E5EC8D5" w14:textId="77777777" w:rsidR="007B7421" w:rsidRDefault="00E1609B" w:rsidP="00E1609B">
      <w:pPr>
        <w:pStyle w:val="Heading2"/>
        <w:rPr>
          <w:rtl/>
          <w:lang w:bidi="fa-IR"/>
        </w:rPr>
      </w:pPr>
      <w:r>
        <w:rPr>
          <w:rtl/>
        </w:rPr>
        <w:t>پیشینه</w:t>
      </w:r>
      <w:r>
        <w:t xml:space="preserve"> </w:t>
      </w:r>
      <w:r>
        <w:rPr>
          <w:rtl/>
        </w:rPr>
        <w:t>پژوهش</w:t>
      </w:r>
    </w:p>
    <w:p w14:paraId="454B7FF3" w14:textId="750B7353" w:rsidR="00462C54" w:rsidRPr="00462C54" w:rsidRDefault="00462C54" w:rsidP="00B956FB">
      <w:pPr>
        <w:spacing w:after="40"/>
      </w:pPr>
      <w:r w:rsidRPr="00462C54">
        <w:rPr>
          <w:rtl/>
        </w:rPr>
        <w:t>در زمینه ارزیابی تناسب سرزمین،</w:t>
      </w:r>
      <w:r w:rsidR="0054678E">
        <w:fldChar w:fldCharType="begin">
          <w:fldData xml:space="preserve">PEVuZE5vdGU+PENpdGU+PEF1dGhvcj5GZWl6aXphZGVoPC9BdXRob3I+PFllYXI+MjAxMzwvWWVh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</w:fldData>
        </w:fldChar>
      </w:r>
      <w:r w:rsidR="0054678E">
        <w:instrText xml:space="preserve"> ADDIN EN.JS.CITE </w:instrText>
      </w:r>
      <w:r w:rsidR="0054678E">
        <w:fldChar w:fldCharType="separate"/>
      </w:r>
      <w:r w:rsidR="0054678E">
        <w:rPr>
          <w:noProof/>
        </w:rPr>
        <w:t>(Feizizadeh &amp; Blaschke, 2013)</w:t>
      </w:r>
      <w:r w:rsidR="0054678E">
        <w:fldChar w:fldCharType="end"/>
      </w:r>
      <w:r w:rsidRPr="00462C54">
        <w:t xml:space="preserve"> </w:t>
      </w:r>
      <w:r w:rsidR="006624F5">
        <w:rPr>
          <w:rFonts w:hint="cs"/>
          <w:rtl/>
        </w:rPr>
        <w:t xml:space="preserve"> </w:t>
      </w:r>
      <w:r w:rsidRPr="00462C54">
        <w:rPr>
          <w:rtl/>
        </w:rPr>
        <w:t>با استفاده از یک رویکرد چندمعیاره مبتنی بر</w:t>
      </w:r>
      <w:r w:rsidRPr="00462C54">
        <w:t xml:space="preserve"> GIS</w:t>
      </w:r>
      <w:r w:rsidRPr="00462C54">
        <w:rPr>
          <w:rtl/>
        </w:rPr>
        <w:t>، قابلیت این روش را در ارزیابی تناسب سرزمین در شهرستان تبریز بررسی کردند. همچنین</w:t>
      </w:r>
      <w:r w:rsidR="0054678E">
        <w:rPr>
          <w:rtl/>
        </w:rPr>
        <w:fldChar w:fldCharType="begin">
          <w:fldData xml:space="preserve">PEVuZE5vdGU+PENpdGU+PEF1dGhvcj5NZW1hcmJhc2hpPC9BdXRob3I+PFllYXI+MjAxNzwvWWVh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</w:fldData>
        </w:fldChar>
      </w:r>
      <w:r w:rsidR="0054678E">
        <w:rPr>
          <w:rtl/>
        </w:rPr>
        <w:instrText xml:space="preserve"> </w:instrText>
      </w:r>
      <w:r w:rsidR="0054678E">
        <w:instrText>ADDIN EN.JS.CITE</w:instrText>
      </w:r>
      <w:r w:rsidR="0054678E">
        <w:rPr>
          <w:rtl/>
        </w:rPr>
        <w:instrText xml:space="preserve"> </w:instrText>
      </w:r>
      <w:r w:rsidR="0054678E">
        <w:rPr>
          <w:rtl/>
        </w:rPr>
      </w:r>
      <w:r w:rsidR="0054678E">
        <w:rPr>
          <w:rtl/>
        </w:rPr>
        <w:fldChar w:fldCharType="separate"/>
      </w:r>
      <w:r w:rsidR="0054678E">
        <w:rPr>
          <w:noProof/>
          <w:rtl/>
        </w:rPr>
        <w:t>(</w:t>
      </w:r>
      <w:r w:rsidR="0054678E">
        <w:rPr>
          <w:noProof/>
        </w:rPr>
        <w:t>Memarbashi et al., 2017</w:t>
      </w:r>
      <w:r w:rsidR="0054678E">
        <w:rPr>
          <w:noProof/>
          <w:rtl/>
        </w:rPr>
        <w:t>)</w:t>
      </w:r>
      <w:r w:rsidR="0054678E">
        <w:rPr>
          <w:rtl/>
        </w:rPr>
        <w:fldChar w:fldCharType="end"/>
      </w:r>
      <w:r w:rsidRPr="00462C54">
        <w:rPr>
          <w:rtl/>
        </w:rPr>
        <w:t xml:space="preserve"> با استفاده از مدل ترکیبی</w:t>
      </w:r>
      <w:r w:rsidRPr="00462C54">
        <w:t xml:space="preserve"> AHP–GIS</w:t>
      </w:r>
      <w:r w:rsidRPr="00462C54">
        <w:rPr>
          <w:rtl/>
        </w:rPr>
        <w:t>، تناسب کاربری اراضی در شمال شرق ایران را ارزیابی کردند. این مطالعات نشان می‌دهند که تلفیق داده‌های مکانی با وزن‌دهی چندمعیاره می‌تواند برای تبدیل مجموعه‌ای از معیارهای محیطی و سرزمینی به نقشه‌های تصمیم‌یار مورد استفاده قرار گیرد</w:t>
      </w:r>
      <w:r w:rsidR="00B956FB">
        <w:rPr>
          <w:rFonts w:hint="cs"/>
          <w:rtl/>
        </w:rPr>
        <w:t>.</w:t>
      </w:r>
      <w:r w:rsidRPr="00462C54">
        <w:t xml:space="preserve"> </w:t>
      </w:r>
    </w:p>
    <w:p w14:paraId="7C786EC1" w14:textId="77777777" w:rsidR="00462C54" w:rsidRPr="00462C54" w:rsidRDefault="00462C54" w:rsidP="00B956FB">
      <w:pPr>
        <w:spacing w:after="40"/>
        <w:rPr>
          <w:lang w:bidi="fa-IR"/>
        </w:rPr>
      </w:pPr>
      <w:r w:rsidRPr="00462C54">
        <w:rPr>
          <w:rtl/>
        </w:rPr>
        <w:t>در حوزه معدن نیز کاربرد</w:t>
      </w:r>
      <w:r w:rsidRPr="00462C54">
        <w:t xml:space="preserve"> GIS–AHP </w:t>
      </w:r>
      <w:r w:rsidRPr="00462C54">
        <w:rPr>
          <w:rtl/>
        </w:rPr>
        <w:t>و روش‌های چندمعیاره توسعه یافته است</w:t>
      </w:r>
      <w:r w:rsidR="00C67709">
        <w:rPr>
          <w:rFonts w:hint="cs"/>
          <w:rtl/>
        </w:rPr>
        <w:t xml:space="preserve">. </w:t>
      </w:r>
      <w:r w:rsidR="0054678E">
        <w:rPr>
          <w:rtl/>
        </w:rPr>
        <w:fldChar w:fldCharType="begin">
          <w:fldData xml:space="preserve">PEVuZE5vdGU+PENpdGU+PEF1dGhvcj5DcmF5bm9uPC9BdXRob3I+PFllYXI+MjAxNjwvWWVhcj48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</w:fldData>
        </w:fldChar>
      </w:r>
      <w:r w:rsidR="0054678E">
        <w:rPr>
          <w:rtl/>
        </w:rPr>
        <w:instrText xml:space="preserve"> </w:instrText>
      </w:r>
      <w:r w:rsidR="0054678E">
        <w:instrText>ADDIN EN.JS.CITE</w:instrText>
      </w:r>
      <w:r w:rsidR="0054678E">
        <w:rPr>
          <w:rtl/>
        </w:rPr>
        <w:instrText xml:space="preserve"> </w:instrText>
      </w:r>
      <w:r w:rsidR="0054678E">
        <w:rPr>
          <w:rtl/>
        </w:rPr>
      </w:r>
      <w:r w:rsidR="0054678E">
        <w:rPr>
          <w:rtl/>
        </w:rPr>
        <w:fldChar w:fldCharType="separate"/>
      </w:r>
      <w:r w:rsidR="0054678E">
        <w:rPr>
          <w:noProof/>
          <w:rtl/>
        </w:rPr>
        <w:t>(</w:t>
      </w:r>
      <w:r w:rsidR="0054678E">
        <w:rPr>
          <w:noProof/>
        </w:rPr>
        <w:t>Craynon et al., 2016</w:t>
      </w:r>
      <w:r w:rsidR="0054678E">
        <w:rPr>
          <w:noProof/>
          <w:rtl/>
        </w:rPr>
        <w:t>)</w:t>
      </w:r>
      <w:r w:rsidR="0054678E">
        <w:rPr>
          <w:rtl/>
        </w:rPr>
        <w:fldChar w:fldCharType="end"/>
      </w:r>
      <w:r w:rsidRPr="00462C54">
        <w:rPr>
          <w:rtl/>
        </w:rPr>
        <w:t>یک روش مبتنی بر</w:t>
      </w:r>
      <w:r w:rsidRPr="00462C54">
        <w:t xml:space="preserve"> GIS </w:t>
      </w:r>
      <w:r w:rsidRPr="00462C54">
        <w:rPr>
          <w:rtl/>
        </w:rPr>
        <w:t>برای شناسایی مناطق دارای تعارض با اهداف پایداری در طراحی معدن ارائه کردند و نشان دادند که اطلاعات مکانی می‌تواند در مراحل برنامه‌ریزی و طراحی معدن برای شناسایی محدودیت‌ها و تعارض‌های محیط‌زیستی مورد استفاده قرار گیرد</w:t>
      </w:r>
      <w:r w:rsidR="00B956FB">
        <w:rPr>
          <w:rFonts w:hint="cs"/>
          <w:rtl/>
        </w:rPr>
        <w:t>.</w:t>
      </w:r>
      <w:r w:rsidRPr="00462C54">
        <w:t xml:space="preserve"> </w:t>
      </w:r>
      <w:r w:rsidR="0054678E">
        <w:rPr>
          <w:rtl/>
        </w:rPr>
        <w:fldChar w:fldCharType="begin">
          <w:fldData xml:space="preserve">PEVuZE5vdGU+PENpdGU+PEF1dGhvcj5HdWRpc3NhPC9BdXRob3I+PFllYXI+MjAyMjwvWWVhcj48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=
</w:fldData>
        </w:fldChar>
      </w:r>
      <w:r w:rsidR="0054678E">
        <w:rPr>
          <w:rtl/>
        </w:rPr>
        <w:instrText xml:space="preserve"> </w:instrText>
      </w:r>
      <w:r w:rsidR="0054678E">
        <w:instrText>ADDIN EN.JS.CITE</w:instrText>
      </w:r>
      <w:r w:rsidR="0054678E">
        <w:rPr>
          <w:rtl/>
        </w:rPr>
        <w:instrText xml:space="preserve"> </w:instrText>
      </w:r>
      <w:r w:rsidR="0054678E">
        <w:rPr>
          <w:rtl/>
        </w:rPr>
      </w:r>
      <w:r w:rsidR="0054678E">
        <w:rPr>
          <w:rtl/>
        </w:rPr>
        <w:fldChar w:fldCharType="separate"/>
      </w:r>
      <w:r w:rsidR="0054678E">
        <w:rPr>
          <w:noProof/>
          <w:rtl/>
        </w:rPr>
        <w:t>(</w:t>
      </w:r>
      <w:r w:rsidR="0054678E">
        <w:rPr>
          <w:noProof/>
        </w:rPr>
        <w:t>Gudissa et al., 2022</w:t>
      </w:r>
      <w:r w:rsidR="0054678E">
        <w:rPr>
          <w:noProof/>
          <w:rtl/>
        </w:rPr>
        <w:t>)</w:t>
      </w:r>
      <w:r w:rsidR="0054678E">
        <w:rPr>
          <w:rtl/>
        </w:rPr>
        <w:fldChar w:fldCharType="end"/>
      </w:r>
      <w:r w:rsidRPr="00462C54">
        <w:rPr>
          <w:rtl/>
        </w:rPr>
        <w:t>نیز از رویکرد</w:t>
      </w:r>
      <w:r w:rsidRPr="00462C54">
        <w:t xml:space="preserve"> GIS–AHP </w:t>
      </w:r>
      <w:r w:rsidRPr="00462C54">
        <w:rPr>
          <w:rtl/>
        </w:rPr>
        <w:t>برای بهینه‌سازی مکان‌یابی معادن سنگدانه در اتیوپی استفاده کردند. این مطالعات نشان‌دهنده ظرفیت بالای مدل‌های چندمعیاره مکانی در پشتیبانی از تصمیم‌گیری درباره مکان و توسعه فعالیت‌های معدنی هستند</w:t>
      </w:r>
      <w:r w:rsidR="00B956FB">
        <w:rPr>
          <w:rFonts w:hint="cs"/>
          <w:rtl/>
        </w:rPr>
        <w:t>.</w:t>
      </w:r>
      <w:r w:rsidRPr="00462C54">
        <w:t xml:space="preserve"> </w:t>
      </w:r>
    </w:p>
    <w:p w14:paraId="333DEE61" w14:textId="7E6C3B07" w:rsidR="00462C54" w:rsidRPr="00462C54" w:rsidRDefault="00462C54" w:rsidP="00B956FB">
      <w:pPr>
        <w:spacing w:after="40"/>
      </w:pPr>
      <w:r w:rsidRPr="00462C54">
        <w:rPr>
          <w:rtl/>
        </w:rPr>
        <w:t>در حوزه ارزیابی راهبردی محیط‌زیست،</w:t>
      </w:r>
      <w:r w:rsidR="0054678E">
        <w:fldChar w:fldCharType="begin">
          <w:fldData xml:space="preserve">PEVuZE5vdGU+PENpdGU+PEF1dGhvcj5QYXJ0aWTDoXJpbzwvQXV0aG9yPjxZZWFyPjIwMDA8L1ll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</w:fldData>
        </w:fldChar>
      </w:r>
      <w:r w:rsidR="0054678E">
        <w:instrText xml:space="preserve"> ADDIN EN.JS.CITE </w:instrText>
      </w:r>
      <w:r w:rsidR="0054678E">
        <w:fldChar w:fldCharType="separate"/>
      </w:r>
      <w:r w:rsidR="0054678E">
        <w:rPr>
          <w:noProof/>
        </w:rPr>
        <w:t>(Partidário, 2000)</w:t>
      </w:r>
      <w:r w:rsidR="0054678E">
        <w:fldChar w:fldCharType="end"/>
      </w:r>
      <w:r w:rsidRPr="00462C54">
        <w:t xml:space="preserve"> </w:t>
      </w:r>
      <w:r w:rsidR="006624F5">
        <w:rPr>
          <w:rFonts w:hint="cs"/>
          <w:rtl/>
        </w:rPr>
        <w:t xml:space="preserve"> </w:t>
      </w:r>
      <w:r w:rsidRPr="00462C54">
        <w:rPr>
          <w:rtl/>
        </w:rPr>
        <w:t>بر ضرورت ورود ملاحظات محیط‌زیستی به سطوح سیاست، برنامه و طرح و نقش</w:t>
      </w:r>
      <w:r w:rsidRPr="00462C54">
        <w:t xml:space="preserve"> SEA </w:t>
      </w:r>
      <w:r w:rsidRPr="00462C54">
        <w:rPr>
          <w:rtl/>
        </w:rPr>
        <w:t>در افزایش ارزش افزوده تصمیم‌گیری محیط‌زیستی تأکید کرد</w:t>
      </w:r>
      <w:r w:rsidR="00B956FB">
        <w:rPr>
          <w:rFonts w:hint="cs"/>
          <w:rtl/>
        </w:rPr>
        <w:t>.</w:t>
      </w:r>
      <w:r w:rsidR="00C67709" w:rsidRPr="00C67709">
        <w:rPr>
          <w:rtl/>
        </w:rPr>
        <w:t xml:space="preserve"> </w:t>
      </w:r>
      <w:r w:rsidR="0054678E">
        <w:rPr>
          <w:rtl/>
        </w:rPr>
        <w:fldChar w:fldCharType="begin">
          <w:fldData xml:space="preserve">PEVuZE5vdGU+PENpdGU+PEF1dGhvcj5GaXNjaGVyPC9BdXRob3I+PFllYXI+MjAxMDwvWWVhcj48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</w:fldData>
        </w:fldChar>
      </w:r>
      <w:r w:rsidR="0054678E">
        <w:rPr>
          <w:rtl/>
        </w:rPr>
        <w:instrText xml:space="preserve"> </w:instrText>
      </w:r>
      <w:r w:rsidR="0054678E">
        <w:instrText>ADDIN EN.JS.CITE</w:instrText>
      </w:r>
      <w:r w:rsidR="0054678E">
        <w:rPr>
          <w:rtl/>
        </w:rPr>
        <w:instrText xml:space="preserve"> </w:instrText>
      </w:r>
      <w:r w:rsidR="0054678E">
        <w:rPr>
          <w:rtl/>
        </w:rPr>
      </w:r>
      <w:r w:rsidR="0054678E">
        <w:rPr>
          <w:rtl/>
        </w:rPr>
        <w:fldChar w:fldCharType="separate"/>
      </w:r>
      <w:r w:rsidR="0054678E">
        <w:rPr>
          <w:noProof/>
          <w:rtl/>
        </w:rPr>
        <w:t>(</w:t>
      </w:r>
      <w:r w:rsidR="0054678E">
        <w:rPr>
          <w:noProof/>
        </w:rPr>
        <w:t>Fischer, 2010</w:t>
      </w:r>
      <w:r w:rsidR="0054678E">
        <w:rPr>
          <w:noProof/>
          <w:rtl/>
        </w:rPr>
        <w:t>)</w:t>
      </w:r>
      <w:r w:rsidR="0054678E">
        <w:rPr>
          <w:rtl/>
        </w:rPr>
        <w:fldChar w:fldCharType="end"/>
      </w:r>
      <w:r w:rsidR="006624F5">
        <w:rPr>
          <w:rFonts w:hint="cs"/>
          <w:rtl/>
        </w:rPr>
        <w:t xml:space="preserve"> </w:t>
      </w:r>
      <w:r w:rsidRPr="00462C54">
        <w:rPr>
          <w:rtl/>
        </w:rPr>
        <w:t>نیز</w:t>
      </w:r>
      <w:r w:rsidRPr="00462C54">
        <w:t xml:space="preserve"> SEA </w:t>
      </w:r>
      <w:r w:rsidRPr="00462C54">
        <w:rPr>
          <w:rtl/>
        </w:rPr>
        <w:t xml:space="preserve">را رویکردی برای نظام‌مند کردن ملاحظات محیط‌زیستی در مراحل اولیه تصمیم‌گیری معرفی کرده است. در </w:t>
      </w:r>
      <w:r w:rsidRPr="00462C54">
        <w:rPr>
          <w:rtl/>
        </w:rPr>
        <w:lastRenderedPageBreak/>
        <w:t xml:space="preserve">مقایسه با ارزیابی اثرات محیط‌زیستی پروژه‌محور، </w:t>
      </w:r>
      <w:r w:rsidRPr="00462C54">
        <w:t xml:space="preserve">SEA </w:t>
      </w:r>
      <w:r w:rsidR="00C67709">
        <w:rPr>
          <w:rFonts w:hint="cs"/>
          <w:rtl/>
        </w:rPr>
        <w:t xml:space="preserve"> </w:t>
      </w:r>
      <w:r w:rsidRPr="00462C54">
        <w:rPr>
          <w:rtl/>
        </w:rPr>
        <w:t>ظرفیت بیشتری برای بررسی گزینه‌های توسعه، محدودیت‌های محیطی و آثار تجمعی پیش از تثبیت تصمیم‌های اصلی دارد</w:t>
      </w:r>
      <w:r w:rsidR="00B956FB">
        <w:rPr>
          <w:rFonts w:hint="cs"/>
          <w:rtl/>
        </w:rPr>
        <w:t>.</w:t>
      </w:r>
      <w:r w:rsidRPr="00462C54">
        <w:t xml:space="preserve"> </w:t>
      </w:r>
    </w:p>
    <w:p w14:paraId="69EEDA46" w14:textId="7765C295" w:rsidR="00462C54" w:rsidRPr="00462C54" w:rsidRDefault="00462C54" w:rsidP="008B1294">
      <w:pPr>
        <w:spacing w:after="40"/>
      </w:pPr>
      <w:r w:rsidRPr="00462C54">
        <w:rPr>
          <w:rtl/>
        </w:rPr>
        <w:t xml:space="preserve">در زمینه آثار تجمعی، </w:t>
      </w:r>
      <w:r w:rsidR="0054678E">
        <w:rPr>
          <w:rtl/>
        </w:rPr>
        <w:fldChar w:fldCharType="begin">
          <w:fldData xml:space="preserve">PEVuZE5vdGU+PENpdGU+PEF1dGhvcj5CaWRzdHJ1cDwvQXV0aG9yPjxZZWFyPjIwMTY8L1llYXI+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</w:fldData>
        </w:fldChar>
      </w:r>
      <w:r w:rsidR="0054678E">
        <w:rPr>
          <w:rtl/>
        </w:rPr>
        <w:instrText xml:space="preserve"> </w:instrText>
      </w:r>
      <w:r w:rsidR="0054678E">
        <w:instrText>ADDIN EN.JS.CITE</w:instrText>
      </w:r>
      <w:r w:rsidR="0054678E">
        <w:rPr>
          <w:rtl/>
        </w:rPr>
        <w:instrText xml:space="preserve"> </w:instrText>
      </w:r>
      <w:r w:rsidR="0054678E">
        <w:rPr>
          <w:rtl/>
        </w:rPr>
      </w:r>
      <w:r w:rsidR="0054678E">
        <w:rPr>
          <w:rtl/>
        </w:rPr>
        <w:fldChar w:fldCharType="separate"/>
      </w:r>
      <w:r w:rsidR="0054678E">
        <w:rPr>
          <w:noProof/>
          <w:rtl/>
        </w:rPr>
        <w:t>(</w:t>
      </w:r>
      <w:r w:rsidR="0054678E">
        <w:rPr>
          <w:noProof/>
        </w:rPr>
        <w:t>Bidstrup et al., 2016</w:t>
      </w:r>
      <w:r w:rsidR="0054678E">
        <w:rPr>
          <w:noProof/>
          <w:rtl/>
        </w:rPr>
        <w:t>)</w:t>
      </w:r>
      <w:r w:rsidR="0054678E">
        <w:rPr>
          <w:rtl/>
        </w:rPr>
        <w:fldChar w:fldCharType="end"/>
      </w:r>
      <w:r w:rsidRPr="00462C54">
        <w:rPr>
          <w:rtl/>
        </w:rPr>
        <w:t xml:space="preserve"> نشان دادند که حدود فضایی برنامه‌ها و طرح‌ها می‌تواند بر نحوه شناسایی و ارزیابی آثار تجمعی در فرآیند</w:t>
      </w:r>
      <w:r w:rsidRPr="00462C54">
        <w:t xml:space="preserve"> SEA </w:t>
      </w:r>
      <w:r w:rsidRPr="00462C54">
        <w:rPr>
          <w:rtl/>
        </w:rPr>
        <w:t>تأثیرگذار باشد</w:t>
      </w:r>
      <w:r w:rsidR="00B956FB">
        <w:rPr>
          <w:rFonts w:hint="cs"/>
          <w:rtl/>
        </w:rPr>
        <w:t>.</w:t>
      </w:r>
      <w:r w:rsidRPr="00462C54">
        <w:t xml:space="preserve"> </w:t>
      </w:r>
      <w:r w:rsidR="0054678E">
        <w:rPr>
          <w:rtl/>
        </w:rPr>
        <w:fldChar w:fldCharType="begin">
          <w:fldData xml:space="preserve">PEVuZE5vdGU+PENpdGU+PEF1dGhvcj5DYXZhbGNhbnRpPC9BdXRob3I+PFllYXI+MjAxMTwvWWVh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</w:fldData>
        </w:fldChar>
      </w:r>
      <w:r w:rsidR="0054678E">
        <w:rPr>
          <w:rtl/>
        </w:rPr>
        <w:instrText xml:space="preserve"> </w:instrText>
      </w:r>
      <w:r w:rsidR="0054678E">
        <w:instrText>ADDIN EN.JS.CITE</w:instrText>
      </w:r>
      <w:r w:rsidR="0054678E">
        <w:rPr>
          <w:rtl/>
        </w:rPr>
        <w:instrText xml:space="preserve"> </w:instrText>
      </w:r>
      <w:r w:rsidR="0054678E">
        <w:rPr>
          <w:rtl/>
        </w:rPr>
      </w:r>
      <w:r w:rsidR="0054678E">
        <w:rPr>
          <w:rtl/>
        </w:rPr>
        <w:fldChar w:fldCharType="separate"/>
      </w:r>
      <w:r w:rsidR="0054678E">
        <w:rPr>
          <w:noProof/>
          <w:rtl/>
        </w:rPr>
        <w:t>(</w:t>
      </w:r>
      <w:r w:rsidR="0054678E">
        <w:rPr>
          <w:noProof/>
        </w:rPr>
        <w:t>Cavalcanti &amp; La Rovere, 2011</w:t>
      </w:r>
      <w:r w:rsidR="0054678E">
        <w:rPr>
          <w:noProof/>
          <w:rtl/>
        </w:rPr>
        <w:t>)</w:t>
      </w:r>
      <w:r w:rsidR="0054678E">
        <w:rPr>
          <w:rtl/>
        </w:rPr>
        <w:fldChar w:fldCharType="end"/>
      </w:r>
      <w:r w:rsidR="006624F5">
        <w:rPr>
          <w:rFonts w:hint="cs"/>
          <w:rtl/>
        </w:rPr>
        <w:t xml:space="preserve"> </w:t>
      </w:r>
      <w:r w:rsidRPr="00462C54">
        <w:rPr>
          <w:rtl/>
        </w:rPr>
        <w:t>نیز چارچوبی برای کمی‌سازی آثار تجمعی فعالیت‌های معدنی بر کیفیت هوا در سطح راهبردی ارائه کردند. بنابراین، در برنامه‌ریزی توسعه فعالیت‌های معدنی، توجه به آثار تجمعی و تعامل میان فشارهای محیط‌زیستی اهمیت ویژه‌ای دارد</w:t>
      </w:r>
      <w:r w:rsidR="006624F5">
        <w:rPr>
          <w:rFonts w:hint="cs"/>
          <w:rtl/>
        </w:rPr>
        <w:t>.</w:t>
      </w:r>
      <w:r w:rsidRPr="00462C54">
        <w:t xml:space="preserve"> </w:t>
      </w:r>
    </w:p>
    <w:p w14:paraId="0B38A3DF" w14:textId="77777777" w:rsidR="00462C54" w:rsidRPr="00462C54" w:rsidRDefault="00462C54" w:rsidP="00915E76">
      <w:pPr>
        <w:spacing w:after="40"/>
      </w:pPr>
      <w:r w:rsidRPr="00462C54">
        <w:t xml:space="preserve"> </w:t>
      </w:r>
      <w:r w:rsidR="0054678E">
        <w:rPr>
          <w:rtl/>
        </w:rPr>
        <w:fldChar w:fldCharType="begin">
          <w:fldData xml:space="preserve">PEVuZE5vdGU+PENpdGU+PEF1dGhvcj5Hb256w6FsZXo8L0F1dGhvcj48WWVhcj4yMDIxPC9ZZWFy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</w:fldData>
        </w:fldChar>
      </w:r>
      <w:r w:rsidR="0054678E">
        <w:rPr>
          <w:rtl/>
        </w:rPr>
        <w:instrText xml:space="preserve"> </w:instrText>
      </w:r>
      <w:r w:rsidR="0054678E">
        <w:instrText>ADDIN EN.JS.CITE</w:instrText>
      </w:r>
      <w:r w:rsidR="0054678E">
        <w:rPr>
          <w:rtl/>
        </w:rPr>
        <w:instrText xml:space="preserve"> </w:instrText>
      </w:r>
      <w:r w:rsidR="0054678E">
        <w:rPr>
          <w:rtl/>
        </w:rPr>
      </w:r>
      <w:r w:rsidR="0054678E">
        <w:rPr>
          <w:rtl/>
        </w:rPr>
        <w:fldChar w:fldCharType="separate"/>
      </w:r>
      <w:r w:rsidR="0054678E">
        <w:rPr>
          <w:rFonts w:hint="cs"/>
          <w:noProof/>
          <w:rtl/>
        </w:rPr>
        <w:t>(</w:t>
      </w:r>
      <w:r w:rsidR="0054678E">
        <w:rPr>
          <w:rFonts w:hint="cs"/>
          <w:noProof/>
        </w:rPr>
        <w:t>González &amp; Geneletti, 2021</w:t>
      </w:r>
      <w:r w:rsidR="0054678E">
        <w:rPr>
          <w:rFonts w:hint="cs"/>
          <w:noProof/>
          <w:rtl/>
        </w:rPr>
        <w:t>)</w:t>
      </w:r>
      <w:r w:rsidR="0054678E">
        <w:rPr>
          <w:rtl/>
        </w:rPr>
        <w:fldChar w:fldCharType="end"/>
      </w:r>
      <w:r w:rsidR="00C67709">
        <w:rPr>
          <w:rFonts w:hint="cs"/>
          <w:rtl/>
        </w:rPr>
        <w:t xml:space="preserve"> </w:t>
      </w:r>
      <w:r w:rsidRPr="00462C54">
        <w:rPr>
          <w:rtl/>
        </w:rPr>
        <w:t>نیز کاربرد</w:t>
      </w:r>
      <w:r w:rsidRPr="00462C54">
        <w:t xml:space="preserve"> GIS </w:t>
      </w:r>
      <w:r w:rsidRPr="00462C54">
        <w:rPr>
          <w:rtl/>
        </w:rPr>
        <w:t>در</w:t>
      </w:r>
      <w:r w:rsidRPr="00462C54">
        <w:t xml:space="preserve"> SEA </w:t>
      </w:r>
      <w:r w:rsidRPr="00462C54">
        <w:rPr>
          <w:rtl/>
        </w:rPr>
        <w:t>را مورد توجه قرار داده و بر ظرفیت تحلیل فضایی برای پشتیبانی از فرآیندهای تصمیم‌گیری راهبردی تأکید کرده‌اند. این رویکرد، ارتباط روش‌شناختی میان</w:t>
      </w:r>
      <w:r w:rsidRPr="00462C54">
        <w:t xml:space="preserve"> SEA </w:t>
      </w:r>
      <w:r w:rsidRPr="00462C54">
        <w:rPr>
          <w:rtl/>
        </w:rPr>
        <w:t>و</w:t>
      </w:r>
      <w:r w:rsidRPr="00462C54">
        <w:t xml:space="preserve"> GIS </w:t>
      </w:r>
      <w:r w:rsidRPr="00462C54">
        <w:rPr>
          <w:rtl/>
        </w:rPr>
        <w:t>را تقویت می‌کند و امکان نمایش فضایی محدودیت‌ها، حساسیت‌ها و گزینه‌های توسعه را فراهم می‌سازد</w:t>
      </w:r>
      <w:r w:rsidR="00C67709">
        <w:rPr>
          <w:rFonts w:hint="cs"/>
          <w:rtl/>
        </w:rPr>
        <w:t>.</w:t>
      </w:r>
      <w:r w:rsidRPr="00462C54">
        <w:t xml:space="preserve"> </w:t>
      </w:r>
    </w:p>
    <w:p w14:paraId="16F35FD5" w14:textId="534F9B92" w:rsidR="00462C54" w:rsidRPr="00462C54" w:rsidRDefault="00462C54" w:rsidP="00915E76">
      <w:pPr>
        <w:spacing w:after="40"/>
      </w:pPr>
      <w:r w:rsidRPr="00462C54">
        <w:rPr>
          <w:rtl/>
        </w:rPr>
        <w:t>در مطالعات مربوط به پیامدهای محیط‌زیستی معدنکاری مس، منابع آب یکی از مهم‌ترین مؤلفه‌های مورد توجه بوده است</w:t>
      </w:r>
      <w:r w:rsidR="00915E76">
        <w:rPr>
          <w:rFonts w:hint="cs"/>
          <w:rtl/>
        </w:rPr>
        <w:t>.</w:t>
      </w:r>
      <w:r w:rsidRPr="00462C54">
        <w:rPr>
          <w:rtl/>
        </w:rPr>
        <w:t xml:space="preserve"> </w:t>
      </w:r>
      <w:r w:rsidR="0054678E">
        <w:rPr>
          <w:rtl/>
        </w:rPr>
        <w:fldChar w:fldCharType="begin">
          <w:fldData xml:space="preserve">PEVuZE5vdGU+PENpdGU+PEF1dGhvcj5OYWJpIEJpZGhlbmRpPC9BdXRob3I+PFllYXI+MjAwNzwv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</w:fldData>
        </w:fldChar>
      </w:r>
      <w:r w:rsidR="0054678E">
        <w:rPr>
          <w:rtl/>
        </w:rPr>
        <w:instrText xml:space="preserve"> </w:instrText>
      </w:r>
      <w:r w:rsidR="0054678E">
        <w:instrText>ADDIN EN.JS.CITE</w:instrText>
      </w:r>
      <w:r w:rsidR="0054678E">
        <w:rPr>
          <w:rtl/>
        </w:rPr>
        <w:instrText xml:space="preserve"> </w:instrText>
      </w:r>
      <w:r w:rsidR="0054678E">
        <w:rPr>
          <w:rtl/>
        </w:rPr>
      </w:r>
      <w:r w:rsidR="0054678E">
        <w:rPr>
          <w:rtl/>
        </w:rPr>
        <w:fldChar w:fldCharType="separate"/>
      </w:r>
      <w:r w:rsidR="0054678E">
        <w:rPr>
          <w:noProof/>
          <w:rtl/>
        </w:rPr>
        <w:t>(</w:t>
      </w:r>
      <w:r w:rsidR="0054678E">
        <w:rPr>
          <w:noProof/>
        </w:rPr>
        <w:t>Nabi Bidhendi et al., 2007</w:t>
      </w:r>
      <w:r w:rsidR="0054678E">
        <w:rPr>
          <w:noProof/>
          <w:rtl/>
        </w:rPr>
        <w:t>)</w:t>
      </w:r>
      <w:r w:rsidR="0054678E">
        <w:rPr>
          <w:rtl/>
        </w:rPr>
        <w:fldChar w:fldCharType="end"/>
      </w:r>
      <w:r w:rsidR="006624F5">
        <w:rPr>
          <w:rFonts w:hint="cs"/>
          <w:rtl/>
        </w:rPr>
        <w:t xml:space="preserve"> </w:t>
      </w:r>
      <w:r w:rsidRPr="00462C54">
        <w:rPr>
          <w:rtl/>
        </w:rPr>
        <w:t>اثر فعالیت معدن مس بر کیفیت آب‌های سطحی را بررسی کردند و بر اهمیت پایش و مدیریت منابع آب در مناطق معدنی تأکید داشتند</w:t>
      </w:r>
      <w:r w:rsidR="00915E76">
        <w:rPr>
          <w:rFonts w:hint="cs"/>
          <w:rtl/>
        </w:rPr>
        <w:t>.</w:t>
      </w:r>
      <w:r w:rsidR="00C67709">
        <w:rPr>
          <w:rFonts w:hint="cs"/>
          <w:rtl/>
        </w:rPr>
        <w:t xml:space="preserve"> </w:t>
      </w:r>
      <w:r w:rsidR="0054678E">
        <w:rPr>
          <w:rtl/>
        </w:rPr>
        <w:fldChar w:fldCharType="begin">
          <w:fldData xml:space="preserve">PEVuZE5vdGU+PENpdGU+PEF1dGhvcj5Ob3J0aGV5PC9BdXRob3I+PFllYXI+MjAxMzwvWWVhcj48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</w:fldData>
        </w:fldChar>
      </w:r>
      <w:r w:rsidR="0054678E">
        <w:rPr>
          <w:rtl/>
        </w:rPr>
        <w:instrText xml:space="preserve"> </w:instrText>
      </w:r>
      <w:r w:rsidR="0054678E">
        <w:instrText>ADDIN EN.JS.CITE</w:instrText>
      </w:r>
      <w:r w:rsidR="0054678E">
        <w:rPr>
          <w:rtl/>
        </w:rPr>
        <w:instrText xml:space="preserve"> </w:instrText>
      </w:r>
      <w:r w:rsidR="0054678E">
        <w:rPr>
          <w:rtl/>
        </w:rPr>
      </w:r>
      <w:r w:rsidR="0054678E">
        <w:rPr>
          <w:rtl/>
        </w:rPr>
        <w:fldChar w:fldCharType="separate"/>
      </w:r>
      <w:r w:rsidR="0054678E">
        <w:rPr>
          <w:noProof/>
          <w:rtl/>
        </w:rPr>
        <w:t>(</w:t>
      </w:r>
      <w:r w:rsidR="0054678E">
        <w:rPr>
          <w:noProof/>
        </w:rPr>
        <w:t>Northey et al., 2013</w:t>
      </w:r>
      <w:r w:rsidR="0054678E">
        <w:rPr>
          <w:noProof/>
          <w:rtl/>
        </w:rPr>
        <w:t>)</w:t>
      </w:r>
      <w:r w:rsidR="0054678E">
        <w:rPr>
          <w:rtl/>
        </w:rPr>
        <w:fldChar w:fldCharType="end"/>
      </w:r>
      <w:r w:rsidR="006624F5">
        <w:rPr>
          <w:rFonts w:hint="cs"/>
          <w:rtl/>
        </w:rPr>
        <w:t xml:space="preserve"> </w:t>
      </w:r>
      <w:r w:rsidRPr="00462C54">
        <w:rPr>
          <w:rtl/>
        </w:rPr>
        <w:t>نیز با بررسی اثرات محیط‌زیستی استخراج مس، اهمیت مصرف منابع و ردپای محیط‌زیستی تولید مس را مورد توجه قرار دادند</w:t>
      </w:r>
      <w:r w:rsidR="00915E76">
        <w:rPr>
          <w:rFonts w:hint="cs"/>
          <w:rtl/>
        </w:rPr>
        <w:t>.</w:t>
      </w:r>
      <w:r w:rsidRPr="00462C54">
        <w:t xml:space="preserve"> </w:t>
      </w:r>
    </w:p>
    <w:p w14:paraId="11B01C3D" w14:textId="76150357" w:rsidR="00462C54" w:rsidRPr="00462C54" w:rsidRDefault="00462C54" w:rsidP="00915E76">
      <w:pPr>
        <w:spacing w:after="40"/>
      </w:pPr>
      <w:r w:rsidRPr="00462C54">
        <w:rPr>
          <w:rtl/>
        </w:rPr>
        <w:t>در سال‌های اخیر، موضوعات جدیدتری از جمله کاهش آثار محیط‌زیستی از طریق فناوری و اتوماسیون نیز مورد توجه قرار گرفته‌اند</w:t>
      </w:r>
      <w:r w:rsidR="00915E76">
        <w:rPr>
          <w:rFonts w:hint="cs"/>
          <w:rtl/>
        </w:rPr>
        <w:t>.</w:t>
      </w:r>
      <w:r w:rsidRPr="00462C54">
        <w:t xml:space="preserve"> </w:t>
      </w:r>
      <w:r w:rsidR="0054678E">
        <w:rPr>
          <w:rtl/>
        </w:rPr>
        <w:fldChar w:fldCharType="begin">
          <w:fldData xml:space="preserve">PEVuZE5vdGU+PENpdGU+PEF1dGhvcj5Nb3JlYXU8L0F1dGhvcj48WWVhcj4yMDIxPC9ZZWFyPjxS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</w:fldData>
        </w:fldChar>
      </w:r>
      <w:r w:rsidR="0054678E">
        <w:rPr>
          <w:rtl/>
        </w:rPr>
        <w:instrText xml:space="preserve"> </w:instrText>
      </w:r>
      <w:r w:rsidR="0054678E">
        <w:instrText>ADDIN EN.JS.CITE</w:instrText>
      </w:r>
      <w:r w:rsidR="0054678E">
        <w:rPr>
          <w:rtl/>
        </w:rPr>
        <w:instrText xml:space="preserve"> </w:instrText>
      </w:r>
      <w:r w:rsidR="0054678E">
        <w:rPr>
          <w:rtl/>
        </w:rPr>
      </w:r>
      <w:r w:rsidR="0054678E">
        <w:rPr>
          <w:rtl/>
        </w:rPr>
        <w:fldChar w:fldCharType="separate"/>
      </w:r>
      <w:r w:rsidR="0054678E">
        <w:rPr>
          <w:noProof/>
          <w:rtl/>
        </w:rPr>
        <w:t>(</w:t>
      </w:r>
      <w:r w:rsidR="0054678E">
        <w:rPr>
          <w:noProof/>
        </w:rPr>
        <w:t>Moreau et al., 2021</w:t>
      </w:r>
      <w:r w:rsidR="0054678E">
        <w:rPr>
          <w:noProof/>
          <w:rtl/>
        </w:rPr>
        <w:t>)</w:t>
      </w:r>
      <w:r w:rsidR="0054678E">
        <w:rPr>
          <w:rtl/>
        </w:rPr>
        <w:fldChar w:fldCharType="end"/>
      </w:r>
      <w:r w:rsidR="006624F5">
        <w:rPr>
          <w:rFonts w:hint="cs"/>
          <w:rtl/>
        </w:rPr>
        <w:t xml:space="preserve"> </w:t>
      </w:r>
      <w:r w:rsidRPr="00462C54">
        <w:rPr>
          <w:rtl/>
        </w:rPr>
        <w:t>نشان دادند که ورود اتوماسیون به معادن زیرزمینی مس می‌تواند در برخی ابعاد موجب بهبود عملکرد محیط‌زیستی شود. همچنین</w:t>
      </w:r>
      <w:r w:rsidR="0054678E">
        <w:fldChar w:fldCharType="begin">
          <w:fldData xml:space="preserve">PEVuZE5vdGU+PENpdGU+PEF1dGhvcj5Qb3VyZXNtYWllbGk8L0F1dGhvcj48WWVhcj4yMDI0PC9Z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</w:fldData>
        </w:fldChar>
      </w:r>
      <w:r w:rsidR="0054678E">
        <w:instrText xml:space="preserve"> ADDIN EN.JS.CITE </w:instrText>
      </w:r>
      <w:r w:rsidR="0054678E">
        <w:fldChar w:fldCharType="separate"/>
      </w:r>
      <w:r w:rsidR="0054678E">
        <w:rPr>
          <w:noProof/>
        </w:rPr>
        <w:t>(Pouresmaieli et al., 2024)</w:t>
      </w:r>
      <w:r w:rsidR="0054678E">
        <w:fldChar w:fldCharType="end"/>
      </w:r>
      <w:r w:rsidRPr="00462C54">
        <w:t xml:space="preserve"> </w:t>
      </w:r>
      <w:r w:rsidR="006624F5">
        <w:rPr>
          <w:rFonts w:hint="cs"/>
          <w:rtl/>
        </w:rPr>
        <w:t xml:space="preserve"> </w:t>
      </w:r>
      <w:r w:rsidRPr="00462C54">
        <w:rPr>
          <w:rtl/>
        </w:rPr>
        <w:t>کاربرد روش‌های تصمیم‌گیری چندمعیاره را در تصمیم‌گیری پایدار در صنعت معدن بررسی کردند و بر اهمیت استفاده همزمان از معیارهای متعدد در تصمیم‌گیری‌های معدنی تأکید نمودند</w:t>
      </w:r>
      <w:r w:rsidR="00915E76">
        <w:rPr>
          <w:rFonts w:hint="cs"/>
          <w:rtl/>
        </w:rPr>
        <w:t>.</w:t>
      </w:r>
      <w:r w:rsidRPr="00462C54">
        <w:t xml:space="preserve"> </w:t>
      </w:r>
    </w:p>
    <w:p w14:paraId="2C3809EE" w14:textId="1F2E2921" w:rsidR="00462C54" w:rsidRPr="00462C54" w:rsidRDefault="00462C54" w:rsidP="00752711">
      <w:pPr>
        <w:spacing w:after="40"/>
      </w:pPr>
      <w:r w:rsidRPr="00462C54">
        <w:rPr>
          <w:rtl/>
        </w:rPr>
        <w:t>مطالعات جدیدتر نیز به جنبه‌های خاص‌تری از آثار محیط‌زیستی صنعت مس پرداخته‌اند</w:t>
      </w:r>
      <w:r w:rsidR="0054678E">
        <w:rPr>
          <w:rFonts w:hint="cs"/>
          <w:rtl/>
        </w:rPr>
        <w:t>.</w:t>
      </w:r>
      <w:r w:rsidR="0054678E">
        <w:fldChar w:fldCharType="begin">
          <w:fldData xml:space="preserve">PEVuZE5vdGU+PENpdGU+PEF1dGhvcj5TaGFocmFraTwvQXV0aG9yPjxZZWFyPjIwMjQ8L1llYXI+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</w:fldData>
        </w:fldChar>
      </w:r>
      <w:r w:rsidR="0054678E">
        <w:instrText xml:space="preserve"> ADDIN EN.JS.CITE </w:instrText>
      </w:r>
      <w:r w:rsidR="0054678E">
        <w:fldChar w:fldCharType="separate"/>
      </w:r>
      <w:r w:rsidR="0054678E">
        <w:rPr>
          <w:noProof/>
        </w:rPr>
        <w:t>(Shahraki et al., 2024)</w:t>
      </w:r>
      <w:r w:rsidR="0054678E">
        <w:fldChar w:fldCharType="end"/>
      </w:r>
      <w:r w:rsidRPr="00462C54">
        <w:t xml:space="preserve"> </w:t>
      </w:r>
      <w:r w:rsidRPr="00462C54">
        <w:rPr>
          <w:rtl/>
        </w:rPr>
        <w:t>اثرات محیط‌زیستی تولید کاتد مس را با استفاده از ارزیابی چرخه حیات بررسی کردند</w:t>
      </w:r>
      <w:r w:rsidR="00915E76">
        <w:rPr>
          <w:rFonts w:hint="cs"/>
          <w:rtl/>
        </w:rPr>
        <w:t>.</w:t>
      </w:r>
      <w:r w:rsidRPr="00462C54">
        <w:t xml:space="preserve"> </w:t>
      </w:r>
      <w:r w:rsidR="0054678E">
        <w:rPr>
          <w:rtl/>
        </w:rPr>
        <w:fldChar w:fldCharType="begin">
          <w:fldData xml:space="preserve">PEVuZE5vdGU+PENpdGU+PEF1dGhvcj5Sb3VoYW5pPC9BdXRob3I+PFllYXI+MjAyNTwvWWVhcj48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</w:fldData>
        </w:fldChar>
      </w:r>
      <w:r w:rsidR="0054678E">
        <w:rPr>
          <w:rtl/>
        </w:rPr>
        <w:instrText xml:space="preserve"> </w:instrText>
      </w:r>
      <w:r w:rsidR="0054678E">
        <w:instrText>ADDIN EN.JS.CITE</w:instrText>
      </w:r>
      <w:r w:rsidR="0054678E">
        <w:rPr>
          <w:rtl/>
        </w:rPr>
        <w:instrText xml:space="preserve"> </w:instrText>
      </w:r>
      <w:r w:rsidR="0054678E">
        <w:rPr>
          <w:rtl/>
        </w:rPr>
      </w:r>
      <w:r w:rsidR="0054678E">
        <w:rPr>
          <w:rtl/>
        </w:rPr>
        <w:fldChar w:fldCharType="separate"/>
      </w:r>
      <w:r w:rsidR="0054678E">
        <w:rPr>
          <w:noProof/>
          <w:rtl/>
        </w:rPr>
        <w:t>(</w:t>
      </w:r>
      <w:r w:rsidR="0054678E">
        <w:rPr>
          <w:noProof/>
        </w:rPr>
        <w:t>Rouhani et al., 2025</w:t>
      </w:r>
      <w:r w:rsidR="0054678E">
        <w:rPr>
          <w:noProof/>
          <w:rtl/>
        </w:rPr>
        <w:t>)</w:t>
      </w:r>
      <w:r w:rsidR="0054678E">
        <w:rPr>
          <w:rtl/>
        </w:rPr>
        <w:fldChar w:fldCharType="end"/>
      </w:r>
      <w:r w:rsidR="006624F5">
        <w:rPr>
          <w:rFonts w:hint="cs"/>
          <w:rtl/>
        </w:rPr>
        <w:t xml:space="preserve"> </w:t>
      </w:r>
      <w:r w:rsidRPr="00462C54">
        <w:rPr>
          <w:rtl/>
        </w:rPr>
        <w:t>نیز آلودگی خاک ناشی از عناصر بالقوه سمی در مناطق معدنی مس ایران و راهکارهای اصلاح آن را بررسی کرده‌اند. این مطالعات بیانگر آن هستند که ارزیابی توسعه صنعت مس باید علاوه بر آثار مستقیم استخراج، مصرف منابع، تولید و فرآوری، پیامدهای مربوط به خاک، آب و چرخه عمر تولید را نیز مورد توجه قرار دهد</w:t>
      </w:r>
      <w:r w:rsidR="0054678E">
        <w:rPr>
          <w:rFonts w:hint="cs"/>
          <w:rtl/>
        </w:rPr>
        <w:t>.</w:t>
      </w:r>
      <w:r w:rsidRPr="00462C54">
        <w:t xml:space="preserve"> </w:t>
      </w:r>
    </w:p>
    <w:p w14:paraId="7CE1CB05" w14:textId="3543CC02" w:rsidR="007E7BEC" w:rsidRDefault="0054678E" w:rsidP="007E7BEC">
      <w:pPr>
        <w:spacing w:after="40"/>
      </w:pPr>
      <w:r>
        <w:rPr>
          <w:rtl/>
        </w:rPr>
        <w:fldChar w:fldCharType="begin">
          <w:fldData xml:space="preserve">PEVuZE5vdGU+PENpdGU+PEF1dGhvcj5LYXJpbWkgRmlyb3pqYWVpIE1vaGFubmFkPC9BdXRob3I+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</w:fldData>
        </w:fldChar>
      </w:r>
      <w:r>
        <w:rPr>
          <w:rtl/>
        </w:rPr>
        <w:instrText xml:space="preserve"> </w:instrText>
      </w:r>
      <w:r>
        <w:instrText>ADDIN EN.JS.CITE</w:instrText>
      </w:r>
      <w:r>
        <w:rPr>
          <w:rtl/>
        </w:rPr>
        <w:instrText xml:space="preserve"> </w:instrText>
      </w:r>
      <w:r>
        <w:rPr>
          <w:rtl/>
        </w:rPr>
      </w:r>
      <w:r>
        <w:rPr>
          <w:rtl/>
        </w:rPr>
        <w:fldChar w:fldCharType="separate"/>
      </w:r>
      <w:r>
        <w:rPr>
          <w:noProof/>
          <w:rtl/>
        </w:rPr>
        <w:t>(</w:t>
      </w:r>
      <w:r>
        <w:rPr>
          <w:noProof/>
        </w:rPr>
        <w:t>Karimi Firozjaei Mohannad et al., 2019</w:t>
      </w:r>
      <w:r>
        <w:rPr>
          <w:noProof/>
          <w:rtl/>
        </w:rPr>
        <w:t>)</w:t>
      </w:r>
      <w:r>
        <w:rPr>
          <w:rtl/>
        </w:rPr>
        <w:fldChar w:fldCharType="end"/>
      </w:r>
      <w:r w:rsidR="006624F5">
        <w:rPr>
          <w:rFonts w:hint="cs"/>
          <w:rtl/>
        </w:rPr>
        <w:t xml:space="preserve"> </w:t>
      </w:r>
      <w:r w:rsidR="007E7BEC">
        <w:rPr>
          <w:rtl/>
        </w:rPr>
        <w:t>تغییرات زیست‌فیزیکی سطح زمین ناشی از فعالیت‌های معدن مس سونگون را با استفاده از قابلیت‌های سنجش‌ازدور بررسی کردند</w:t>
      </w:r>
      <w:r w:rsidR="007E7BEC">
        <w:rPr>
          <w:rFonts w:hint="cs"/>
          <w:rtl/>
        </w:rPr>
        <w:t>.</w:t>
      </w:r>
      <w:r w:rsidRPr="0054678E">
        <w:rPr>
          <w:rtl/>
        </w:rPr>
        <w:t xml:space="preserve"> </w:t>
      </w:r>
      <w:r>
        <w:rPr>
          <w:rtl/>
        </w:rPr>
        <w:fldChar w:fldCharType="begin">
          <w:fldData xml:space="preserve">PEVuZE5vdGU+PENpdGU+PEF1dGhvcj5OYWJpIEJpZGhlbmRpPC9BdXRob3I+PFllYXI+MjAwNzwv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</w:fldData>
        </w:fldChar>
      </w:r>
      <w:r>
        <w:rPr>
          <w:rtl/>
        </w:rPr>
        <w:instrText xml:space="preserve"> </w:instrText>
      </w:r>
      <w:r>
        <w:instrText>ADDIN EN.JS.CITE</w:instrText>
      </w:r>
      <w:r>
        <w:rPr>
          <w:rtl/>
        </w:rPr>
        <w:instrText xml:space="preserve"> </w:instrText>
      </w:r>
      <w:r>
        <w:rPr>
          <w:rtl/>
        </w:rPr>
      </w:r>
      <w:r>
        <w:rPr>
          <w:rtl/>
        </w:rPr>
        <w:fldChar w:fldCharType="separate"/>
      </w:r>
      <w:r>
        <w:rPr>
          <w:noProof/>
          <w:rtl/>
        </w:rPr>
        <w:t>(</w:t>
      </w:r>
      <w:r>
        <w:rPr>
          <w:noProof/>
        </w:rPr>
        <w:t>Nabi Bidhendi et al., 2007</w:t>
      </w:r>
      <w:r>
        <w:rPr>
          <w:noProof/>
          <w:rtl/>
        </w:rPr>
        <w:t>)</w:t>
      </w:r>
      <w:r>
        <w:rPr>
          <w:rtl/>
        </w:rPr>
        <w:fldChar w:fldCharType="end"/>
      </w:r>
      <w:r w:rsidR="006624F5">
        <w:rPr>
          <w:rFonts w:hint="cs"/>
          <w:rtl/>
        </w:rPr>
        <w:t xml:space="preserve"> </w:t>
      </w:r>
      <w:r w:rsidR="007E7BEC">
        <w:rPr>
          <w:rtl/>
        </w:rPr>
        <w:t>تأثیر فعالیت معدن مس بر کیفیت آب سطحی را مورد بررسی قرار دادند. این مطالعات اهمیت توجه به منابع آب و تغییرات سرزمین را در برنامه‌ریزی توسعه معدن سونگون تقویت می‌کنند</w:t>
      </w:r>
      <w:r w:rsidR="007E7BEC">
        <w:rPr>
          <w:rFonts w:hint="cs"/>
          <w:rtl/>
        </w:rPr>
        <w:t>.</w:t>
      </w:r>
    </w:p>
    <w:p w14:paraId="7D367DAB" w14:textId="6F40B666" w:rsidR="00462C54" w:rsidRPr="00462C54" w:rsidRDefault="00565E44" w:rsidP="00555CA3">
      <w:pPr>
        <w:spacing w:after="40"/>
      </w:pPr>
      <w:r w:rsidRPr="00565E44">
        <w:rPr>
          <w:rFonts w:asciiTheme="majorBidi" w:hAnsiTheme="majorBidi" w:cstheme="majorBidi"/>
          <w:sz w:val="20"/>
          <w:szCs w:val="22"/>
          <w:lang w:bidi="fa-IR"/>
        </w:rPr>
        <w:t>(Pirizadeh</w:t>
      </w:r>
      <w:r w:rsidRPr="00565E44">
        <w:t xml:space="preserve"> et al., 2025)</w:t>
      </w:r>
      <w:r w:rsidR="00C216CE" w:rsidRPr="00565E44">
        <w:rPr>
          <w:rFonts w:hint="cs"/>
          <w:rtl/>
        </w:rPr>
        <w:t xml:space="preserve"> </w:t>
      </w:r>
      <w:r w:rsidR="007E7BEC">
        <w:rPr>
          <w:rFonts w:hint="cs"/>
          <w:rtl/>
        </w:rPr>
        <w:t xml:space="preserve">با تمرکز بر بعد مدیریتی و کنترل ریسک‌های </w:t>
      </w:r>
      <w:r w:rsidR="007E7BEC">
        <w:t>HSE</w:t>
      </w:r>
      <w:r w:rsidR="007E7BEC">
        <w:rPr>
          <w:rFonts w:hint="cs"/>
          <w:rtl/>
        </w:rPr>
        <w:t xml:space="preserve"> در مجتمع مس سونگون مطالعاتی انجام داد</w:t>
      </w:r>
      <w:r w:rsidR="00555CA3">
        <w:rPr>
          <w:rFonts w:hint="cs"/>
          <w:rtl/>
        </w:rPr>
        <w:t xml:space="preserve">ه و </w:t>
      </w:r>
      <w:r w:rsidR="00555CA3">
        <w:rPr>
          <w:rtl/>
        </w:rPr>
        <w:t>نشان داد</w:t>
      </w:r>
      <w:r w:rsidR="00555CA3">
        <w:rPr>
          <w:rFonts w:hint="cs"/>
          <w:rtl/>
        </w:rPr>
        <w:t xml:space="preserve">ند </w:t>
      </w:r>
      <w:r w:rsidR="007E7BEC" w:rsidRPr="00462C54">
        <w:rPr>
          <w:rtl/>
        </w:rPr>
        <w:t>که ارزیابی خطر، آموزش، کنترل، بازرسی، آمادگی شرایط اضطراری و شاخص‌های عملکرد</w:t>
      </w:r>
      <w:r w:rsidR="007E7BEC" w:rsidRPr="00462C54">
        <w:t xml:space="preserve"> </w:t>
      </w:r>
      <w:proofErr w:type="gramStart"/>
      <w:r w:rsidR="007E7BEC" w:rsidRPr="00462C54">
        <w:t xml:space="preserve">HSE </w:t>
      </w:r>
      <w:r w:rsidR="006624F5">
        <w:rPr>
          <w:rFonts w:hint="cs"/>
          <w:rtl/>
        </w:rPr>
        <w:t xml:space="preserve"> </w:t>
      </w:r>
      <w:r w:rsidR="007E7BEC" w:rsidRPr="00462C54">
        <w:rPr>
          <w:rtl/>
        </w:rPr>
        <w:t>از</w:t>
      </w:r>
      <w:proofErr w:type="gramEnd"/>
      <w:r w:rsidR="007E7BEC" w:rsidRPr="00462C54">
        <w:rPr>
          <w:rtl/>
        </w:rPr>
        <w:t xml:space="preserve"> مؤلفه‌های مهم مدیریت هستند. بنابراین، نتایج پهنه‌بندی محیط‌زیستی باید در مراحل بعدی در کنار الزامات</w:t>
      </w:r>
      <w:r w:rsidR="007E7BEC" w:rsidRPr="00462C54">
        <w:t xml:space="preserve"> HSE </w:t>
      </w:r>
      <w:r w:rsidR="006624F5">
        <w:rPr>
          <w:rFonts w:hint="cs"/>
          <w:rtl/>
        </w:rPr>
        <w:t xml:space="preserve"> </w:t>
      </w:r>
      <w:r w:rsidR="007E7BEC" w:rsidRPr="00462C54">
        <w:rPr>
          <w:rtl/>
        </w:rPr>
        <w:t>و ارزیابی‌های تفصیلی مورد استفاده قرار گیرد</w:t>
      </w:r>
      <w:r w:rsidR="00555CA3">
        <w:rPr>
          <w:rFonts w:hint="cs"/>
          <w:rtl/>
        </w:rPr>
        <w:t>.</w:t>
      </w:r>
    </w:p>
    <w:p w14:paraId="2E7FF6E4" w14:textId="77777777" w:rsidR="00462C54" w:rsidRPr="00462C54" w:rsidRDefault="00462C54" w:rsidP="00555CA3">
      <w:pPr>
        <w:spacing w:after="40"/>
      </w:pPr>
      <w:r w:rsidRPr="00462C54">
        <w:rPr>
          <w:rtl/>
        </w:rPr>
        <w:lastRenderedPageBreak/>
        <w:t>از سوی دیگر، گزارش محیط‌زیستی مربوط به معادن مس و طلا در استان آذربایجان شرقی نیز مجموعه‌ای از مؤلفه‌های محیطی از جمله منابع آب، خاک، پوشش گیاهی، کیفیت هوا، باطله، پساب و تغییر کاربری اراضی را در ارزیابی معادن مورد توجه قرار داده است</w:t>
      </w:r>
      <w:r w:rsidR="00F631BD" w:rsidRPr="00AF08A4">
        <w:rPr>
          <w:rtl/>
        </w:rPr>
        <w:t>(</w:t>
      </w:r>
      <w:r w:rsidR="00F631BD" w:rsidRPr="00AF08A4">
        <w:t>Mosaferi, 2022</w:t>
      </w:r>
      <w:r w:rsidR="00F631BD" w:rsidRPr="00AF08A4">
        <w:rPr>
          <w:rtl/>
        </w:rPr>
        <w:t>)</w:t>
      </w:r>
      <w:r w:rsidRPr="00462C54">
        <w:rPr>
          <w:rtl/>
        </w:rPr>
        <w:t xml:space="preserve">. </w:t>
      </w:r>
    </w:p>
    <w:p w14:paraId="7E2F66B6" w14:textId="77777777" w:rsidR="00462C54" w:rsidRPr="00462C54" w:rsidRDefault="00462C54" w:rsidP="00555CA3">
      <w:pPr>
        <w:spacing w:after="40"/>
      </w:pPr>
      <w:r w:rsidRPr="00462C54">
        <w:rPr>
          <w:rtl/>
        </w:rPr>
        <w:t xml:space="preserve">همچنین، </w:t>
      </w:r>
      <w:r w:rsidR="00F631BD">
        <w:rPr>
          <w:rtl/>
        </w:rPr>
        <w:fldChar w:fldCharType="begin">
          <w:fldData xml:space="preserve">PEVuZE5vdGU+PENpdGU+PEF1dGhvcj5KYWZhcmkgTmFyaW5hYmFkPC9BdXRob3I+PFllYXI+MjAy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</w:fldData>
        </w:fldChar>
      </w:r>
      <w:r w:rsidR="00F631BD">
        <w:rPr>
          <w:rtl/>
        </w:rPr>
        <w:instrText xml:space="preserve"> </w:instrText>
      </w:r>
      <w:r w:rsidR="00F631BD">
        <w:instrText>ADDIN EN.JS.CITE</w:instrText>
      </w:r>
      <w:r w:rsidR="00F631BD">
        <w:rPr>
          <w:rtl/>
        </w:rPr>
        <w:instrText xml:space="preserve"> </w:instrText>
      </w:r>
      <w:r w:rsidR="00F631BD">
        <w:rPr>
          <w:rtl/>
        </w:rPr>
      </w:r>
      <w:r w:rsidR="00F631BD">
        <w:rPr>
          <w:rtl/>
        </w:rPr>
        <w:fldChar w:fldCharType="separate"/>
      </w:r>
      <w:r w:rsidR="00F631BD">
        <w:rPr>
          <w:noProof/>
          <w:rtl/>
        </w:rPr>
        <w:t>(</w:t>
      </w:r>
      <w:r w:rsidR="00F631BD">
        <w:rPr>
          <w:noProof/>
        </w:rPr>
        <w:t>Jafari Narinabad, 2026</w:t>
      </w:r>
      <w:r w:rsidR="00F631BD">
        <w:rPr>
          <w:noProof/>
          <w:rtl/>
        </w:rPr>
        <w:t>)</w:t>
      </w:r>
      <w:r w:rsidR="00F631BD">
        <w:rPr>
          <w:rtl/>
        </w:rPr>
        <w:fldChar w:fldCharType="end"/>
      </w:r>
      <w:r w:rsidR="00F631BD">
        <w:rPr>
          <w:rFonts w:hint="cs"/>
          <w:rtl/>
        </w:rPr>
        <w:t xml:space="preserve"> </w:t>
      </w:r>
      <w:r w:rsidRPr="00462C54">
        <w:rPr>
          <w:rtl/>
        </w:rPr>
        <w:t xml:space="preserve">در مطالعه‌ای درباره روش‌های فرآوری مس با تمرکز بر ملاحظات محیط‌زیستی و توجیه اقتصادی، ظرفیت فناوری‌هایی نظیر بازیافت باطله، زیست‌لیچینگ و لیچینگ درجا را برای افزایش بهره‌وری منابع و کاهش بخشی از فشارهای محیط‌زیستی صنعت مس مورد توجه قرار داده‌اند. این یافته با رویکرد پژوهش حاضر همخوان است؛ زیرا کاهش فشار محیط‌زیستی توسعه معدن تنها به انتخاب مکانی مناسب محدود نمی‌شود و باید با انتخاب فناوری، مدیریت منابع و کنترل فرآیند نیز همراه باشد. </w:t>
      </w:r>
    </w:p>
    <w:p w14:paraId="7B8444CE" w14:textId="77777777" w:rsidR="003475A8" w:rsidRDefault="00FD05A2" w:rsidP="00CB716A">
      <w:pPr>
        <w:spacing w:after="40"/>
        <w:rPr>
          <w:rFonts w:cs="Times New Roman"/>
          <w:sz w:val="24"/>
          <w:szCs w:val="24"/>
        </w:rPr>
      </w:pPr>
      <w:r>
        <w:rPr>
          <w:rFonts w:hint="cs"/>
          <w:rtl/>
        </w:rPr>
        <w:t xml:space="preserve">طی مطالعه‌ای که </w:t>
      </w:r>
      <w:r w:rsidR="00E571FD">
        <w:rPr>
          <w:rtl/>
        </w:rPr>
        <w:fldChar w:fldCharType="begin">
          <w:fldData xml:space="preserve">PEVuZE5vdGU+PENpdGU+PEF1dGhvcj5TYWRlZ2hpPC9BdXRob3I+PFllYXI+MjAyNTwvWWVhcj48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</w:fldData>
        </w:fldChar>
      </w:r>
      <w:r w:rsidR="00E571FD">
        <w:rPr>
          <w:rtl/>
        </w:rPr>
        <w:instrText xml:space="preserve"> </w:instrText>
      </w:r>
      <w:r w:rsidR="00E571FD">
        <w:instrText>ADDIN EN.JS.CITE</w:instrText>
      </w:r>
      <w:r w:rsidR="00E571FD">
        <w:rPr>
          <w:rtl/>
        </w:rPr>
        <w:instrText xml:space="preserve"> </w:instrText>
      </w:r>
      <w:r w:rsidR="00E571FD">
        <w:rPr>
          <w:rtl/>
        </w:rPr>
      </w:r>
      <w:r w:rsidR="00E571FD">
        <w:rPr>
          <w:rtl/>
        </w:rPr>
        <w:fldChar w:fldCharType="separate"/>
      </w:r>
      <w:r w:rsidR="00E571FD">
        <w:rPr>
          <w:noProof/>
          <w:rtl/>
        </w:rPr>
        <w:t>(</w:t>
      </w:r>
      <w:r w:rsidR="00E571FD">
        <w:rPr>
          <w:noProof/>
        </w:rPr>
        <w:t>Sadeghi &amp; Noormohammadi, 2025</w:t>
      </w:r>
      <w:r w:rsidR="00E571FD">
        <w:rPr>
          <w:noProof/>
          <w:rtl/>
        </w:rPr>
        <w:t>)</w:t>
      </w:r>
      <w:r w:rsidR="00E571FD">
        <w:rPr>
          <w:rtl/>
        </w:rPr>
        <w:fldChar w:fldCharType="end"/>
      </w:r>
      <w:r>
        <w:rPr>
          <w:rFonts w:hint="cs"/>
          <w:rtl/>
          <w:lang w:bidi="fa-IR"/>
        </w:rPr>
        <w:t xml:space="preserve"> </w:t>
      </w:r>
      <w:r>
        <w:rPr>
          <w:rFonts w:hint="cs"/>
          <w:rtl/>
        </w:rPr>
        <w:t xml:space="preserve">انجام دادند، </w:t>
      </w:r>
      <w:r w:rsidR="003475A8">
        <w:rPr>
          <w:rtl/>
        </w:rPr>
        <w:t>تحلیل چندمعیاره مبتنی بر</w:t>
      </w:r>
      <w:r w:rsidR="003475A8">
        <w:t xml:space="preserve"> GIS </w:t>
      </w:r>
      <w:r w:rsidR="003475A8">
        <w:rPr>
          <w:rtl/>
        </w:rPr>
        <w:t xml:space="preserve">برای شناسایی مناطق </w:t>
      </w:r>
      <w:r>
        <w:rPr>
          <w:rtl/>
        </w:rPr>
        <w:t xml:space="preserve">و اولویت‌بندی پهنه‌های </w:t>
      </w:r>
      <w:r w:rsidR="003475A8">
        <w:rPr>
          <w:rtl/>
        </w:rPr>
        <w:t xml:space="preserve">بالقوه تغذیه آب زیرزمینی </w:t>
      </w:r>
      <w:r w:rsidR="007C346B">
        <w:rPr>
          <w:rtl/>
        </w:rPr>
        <w:t>پرداخت</w:t>
      </w:r>
      <w:r w:rsidR="007C346B">
        <w:rPr>
          <w:rFonts w:hint="cs"/>
          <w:rtl/>
        </w:rPr>
        <w:t>ند.</w:t>
      </w:r>
      <w:r w:rsidR="003475A8">
        <w:t xml:space="preserve"> </w:t>
      </w:r>
      <w:r w:rsidR="003475A8">
        <w:rPr>
          <w:rtl/>
        </w:rPr>
        <w:t xml:space="preserve">همچنین، </w:t>
      </w:r>
      <w:r w:rsidR="00E571FD">
        <w:rPr>
          <w:rtl/>
        </w:rPr>
        <w:fldChar w:fldCharType="begin">
          <w:fldData xml:space="preserve">PEVuZE5vdGU+PENpdGU+PEF1dGhvcj5SZXphZWU8L0F1dGhvcj48WWVhcj4yMDI2PC9ZZWFyPjxS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=
</w:fldData>
        </w:fldChar>
      </w:r>
      <w:r w:rsidR="00E571FD">
        <w:rPr>
          <w:rtl/>
        </w:rPr>
        <w:instrText xml:space="preserve"> </w:instrText>
      </w:r>
      <w:r w:rsidR="00E571FD">
        <w:instrText>ADDIN EN.JS.CITE</w:instrText>
      </w:r>
      <w:r w:rsidR="00E571FD">
        <w:rPr>
          <w:rtl/>
        </w:rPr>
        <w:instrText xml:space="preserve"> </w:instrText>
      </w:r>
      <w:r w:rsidR="00E571FD">
        <w:rPr>
          <w:rtl/>
        </w:rPr>
      </w:r>
      <w:r w:rsidR="00E571FD">
        <w:rPr>
          <w:rtl/>
        </w:rPr>
        <w:fldChar w:fldCharType="separate"/>
      </w:r>
      <w:r w:rsidR="00E571FD">
        <w:rPr>
          <w:noProof/>
          <w:rtl/>
        </w:rPr>
        <w:t>(</w:t>
      </w:r>
      <w:r w:rsidR="00E571FD">
        <w:rPr>
          <w:noProof/>
        </w:rPr>
        <w:t>Rezaee et al., 2026</w:t>
      </w:r>
      <w:r w:rsidR="00E571FD">
        <w:rPr>
          <w:noProof/>
          <w:rtl/>
        </w:rPr>
        <w:t>)</w:t>
      </w:r>
      <w:r w:rsidR="00E571FD">
        <w:rPr>
          <w:rtl/>
        </w:rPr>
        <w:fldChar w:fldCharType="end"/>
      </w:r>
      <w:r w:rsidR="007C346B">
        <w:rPr>
          <w:rFonts w:hint="cs"/>
          <w:rtl/>
        </w:rPr>
        <w:t xml:space="preserve"> با استفاده از </w:t>
      </w:r>
      <w:r w:rsidR="007C346B">
        <w:rPr>
          <w:rtl/>
        </w:rPr>
        <w:t>کاربرد</w:t>
      </w:r>
      <w:r w:rsidR="007C346B">
        <w:rPr>
          <w:rFonts w:hint="cs"/>
          <w:rtl/>
        </w:rPr>
        <w:t>های</w:t>
      </w:r>
      <w:r w:rsidR="007C346B">
        <w:t xml:space="preserve"> </w:t>
      </w:r>
      <w:r w:rsidR="007C346B" w:rsidRPr="003D7BF1">
        <w:rPr>
          <w:rFonts w:asciiTheme="majorBidi" w:hAnsiTheme="majorBidi" w:cstheme="majorBidi"/>
          <w:sz w:val="18"/>
          <w:szCs w:val="22"/>
          <w:rtl/>
        </w:rPr>
        <w:t>GIS</w:t>
      </w:r>
      <w:r w:rsidR="007C346B">
        <w:t xml:space="preserve"> </w:t>
      </w:r>
      <w:r w:rsidR="007C346B">
        <w:rPr>
          <w:rtl/>
        </w:rPr>
        <w:t>و روش‌های کمی برای ارزیابی و اولویت‌بندی فضایی پهنه‌های توسعه شهری</w:t>
      </w:r>
      <w:r w:rsidR="007C346B">
        <w:rPr>
          <w:rFonts w:hint="cs"/>
          <w:rtl/>
        </w:rPr>
        <w:t xml:space="preserve">، </w:t>
      </w:r>
      <w:r w:rsidR="003475A8">
        <w:rPr>
          <w:rtl/>
        </w:rPr>
        <w:t>تحلیل فضایی و اولویت‌بندی پهنه‌های مناسب بلندمرتبه‌سازی در بندرعباس</w:t>
      </w:r>
      <w:r w:rsidR="00CB716A">
        <w:rPr>
          <w:rFonts w:hint="cs"/>
          <w:rtl/>
        </w:rPr>
        <w:t xml:space="preserve"> را مورد بررسی قرار دادند.</w:t>
      </w:r>
      <w:r w:rsidR="003475A8">
        <w:rPr>
          <w:rtl/>
        </w:rPr>
        <w:t xml:space="preserve"> این مطالعات نشان می‌دهند که</w:t>
      </w:r>
      <w:r w:rsidR="003475A8">
        <w:t xml:space="preserve"> GIS </w:t>
      </w:r>
      <w:r w:rsidR="003475A8">
        <w:rPr>
          <w:rtl/>
        </w:rPr>
        <w:t>و روش‌های تصمیم‌گیری چندمعیاره می‌توانند برای تلفیق معیارهای مکانی، شناسایی پهنه‌های دارای اولویت و پشتیبانی از تصمیم‌گیری در مسائل پیچیده برنامه‌ریزی سرزمین به‌کار گرفته شوند</w:t>
      </w:r>
      <w:r w:rsidR="003475A8">
        <w:t>.</w:t>
      </w:r>
    </w:p>
    <w:p w14:paraId="1C509A3C" w14:textId="77777777" w:rsidR="007B7421" w:rsidRDefault="00E1609B" w:rsidP="00E1609B">
      <w:pPr>
        <w:spacing w:after="60"/>
        <w:rPr>
          <w:rtl/>
        </w:rPr>
      </w:pPr>
      <w:r>
        <w:rPr>
          <w:b/>
          <w:rtl/>
        </w:rPr>
        <w:t>جمع‌بندی از مرور پیشینه</w:t>
      </w:r>
    </w:p>
    <w:p w14:paraId="5B39ABF7" w14:textId="51F89CFF" w:rsidR="003475A8" w:rsidRDefault="003475A8" w:rsidP="0083336A">
      <w:pPr>
        <w:rPr>
          <w:rtl/>
          <w:lang w:bidi="fa-IR"/>
        </w:rPr>
      </w:pPr>
      <w:r>
        <w:rPr>
          <w:rtl/>
        </w:rPr>
        <w:t xml:space="preserve">با وجود این، تفاوت اساسی پژوهش حاضر با مطالعات مذکور در </w:t>
      </w:r>
      <w:r w:rsidRPr="00CB716A">
        <w:rPr>
          <w:rStyle w:val="Strong"/>
          <w:b w:val="0"/>
          <w:bCs w:val="0"/>
          <w:rtl/>
        </w:rPr>
        <w:t>سطح تصمیم‌گیری، موضوع ارزیابی و چارچوب مفهومی تلفیق ابزارهای مکانی و تصمیم‌گیری چندمعیاره</w:t>
      </w:r>
      <w:r>
        <w:rPr>
          <w:rtl/>
        </w:rPr>
        <w:t xml:space="preserve"> است. در پژوهش حاضر، </w:t>
      </w:r>
      <w:r w:rsidR="0083336A">
        <w:rPr>
          <w:sz w:val="18"/>
          <w:szCs w:val="22"/>
        </w:rPr>
        <w:t xml:space="preserve"> </w:t>
      </w:r>
      <w:r w:rsidRPr="0083336A">
        <w:rPr>
          <w:szCs w:val="28"/>
        </w:rPr>
        <w:t>GIS</w:t>
      </w:r>
      <w:r>
        <w:t xml:space="preserve"> </w:t>
      </w:r>
      <w:r>
        <w:rPr>
          <w:rtl/>
        </w:rPr>
        <w:t>و</w:t>
      </w:r>
      <w:r>
        <w:t xml:space="preserve"> </w:t>
      </w:r>
      <w:r w:rsidRPr="0083336A">
        <w:rPr>
          <w:szCs w:val="28"/>
        </w:rPr>
        <w:t>AHP</w:t>
      </w:r>
      <w:r>
        <w:t xml:space="preserve"> </w:t>
      </w:r>
      <w:r>
        <w:rPr>
          <w:rtl/>
        </w:rPr>
        <w:t xml:space="preserve">صرفاً به‌عنوان ابزارهایی برای مکان‌یابی یک کاربری یا شناسایی یک پهنه مناسب به کار گرفته نشده‌اند، بلکه در چارچوب </w:t>
      </w:r>
      <w:r w:rsidRPr="00CB716A">
        <w:rPr>
          <w:rStyle w:val="Strong"/>
          <w:b w:val="0"/>
          <w:bCs w:val="0"/>
          <w:rtl/>
        </w:rPr>
        <w:t>ارزیابی راهبردی محیط‌زیست</w:t>
      </w:r>
      <w:r w:rsidRPr="00CB716A">
        <w:rPr>
          <w:rStyle w:val="Strong"/>
          <w:b w:val="0"/>
          <w:bCs w:val="0"/>
        </w:rPr>
        <w:t xml:space="preserve"> (SEA)</w:t>
      </w:r>
      <w:r>
        <w:t xml:space="preserve"> </w:t>
      </w:r>
      <w:r>
        <w:rPr>
          <w:rtl/>
        </w:rPr>
        <w:t>و با تمرکز بر توسعه و بهره‌برداری معدن مس سونگون به‌کار گرفته شده‌اند. در این چارچوب، معیارهای محیط‌زیستی مرتبط با منابع آب، کاربری و پوشش اراضی، مناطق مسکونی، شبکه راه‌ها، شیب و مناطق حساس محیط‌زیستی در یک ساختار سلسله‌مراتبی سازمان‌دهی و با استفاده از</w:t>
      </w:r>
      <w:r>
        <w:t xml:space="preserve"> </w:t>
      </w:r>
      <w:r w:rsidRPr="0083336A">
        <w:rPr>
          <w:szCs w:val="28"/>
        </w:rPr>
        <w:t>AHP</w:t>
      </w:r>
      <w:r>
        <w:t xml:space="preserve"> </w:t>
      </w:r>
      <w:r>
        <w:rPr>
          <w:rtl/>
        </w:rPr>
        <w:t>وزن‌دهی شده و سپس در محیط</w:t>
      </w:r>
      <w:r>
        <w:t xml:space="preserve"> GIS </w:t>
      </w:r>
      <w:r>
        <w:rPr>
          <w:rtl/>
        </w:rPr>
        <w:t>به یک چارچوب فضایی برای ارزیابی تناسب محیط‌زیستی توسعه معدن تبدیل شده‌اند. چنین رویکردی با ماهیت</w:t>
      </w:r>
      <w:r>
        <w:t xml:space="preserve"> </w:t>
      </w:r>
      <w:r w:rsidRPr="0083336A">
        <w:t>SEA</w:t>
      </w:r>
      <w:r>
        <w:rPr>
          <w:rtl/>
        </w:rPr>
        <w:t>، که بر ادغام ملاحظات محیط‌زیستی در تصمیم‌گیری‌های راهبردی، مقایسه گزینه‌ها و توجه به پیامدهای تجمعی تأکید دارد، سازگار است</w:t>
      </w:r>
      <w:r w:rsidR="0054678E">
        <w:rPr>
          <w:rtl/>
        </w:rPr>
        <w:fldChar w:fldCharType="begin">
          <w:fldData xml:space="preserve">PEVuZE5vdGU+PENpdGU+PEF1dGhvcj5Hb256w6FsZXo8L0F1dGhvcj48WWVhcj4yMDIxPC9ZZWFy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==
</w:fldData>
        </w:fldChar>
      </w:r>
      <w:r w:rsidR="0054678E">
        <w:rPr>
          <w:rtl/>
        </w:rPr>
        <w:instrText xml:space="preserve"> </w:instrText>
      </w:r>
      <w:r w:rsidR="0054678E">
        <w:instrText>ADDIN EN.JS.CITE</w:instrText>
      </w:r>
      <w:r w:rsidR="0054678E">
        <w:rPr>
          <w:rtl/>
        </w:rPr>
        <w:instrText xml:space="preserve"> </w:instrText>
      </w:r>
      <w:r w:rsidR="0054678E">
        <w:rPr>
          <w:rtl/>
        </w:rPr>
      </w:r>
      <w:r w:rsidR="0054678E">
        <w:rPr>
          <w:rtl/>
        </w:rPr>
        <w:fldChar w:fldCharType="separate"/>
      </w:r>
      <w:r w:rsidR="0054678E">
        <w:rPr>
          <w:rFonts w:hint="cs"/>
          <w:noProof/>
          <w:rtl/>
        </w:rPr>
        <w:t>(</w:t>
      </w:r>
      <w:r w:rsidR="0054678E">
        <w:rPr>
          <w:rFonts w:hint="cs"/>
          <w:noProof/>
        </w:rPr>
        <w:t>Girard et al., 2012; Gonzalez &amp; Enríquez-de-Salamanca, 2018; González &amp; Geneletti, 2021</w:t>
      </w:r>
      <w:r w:rsidR="0054678E">
        <w:rPr>
          <w:rFonts w:hint="cs"/>
          <w:noProof/>
          <w:rtl/>
        </w:rPr>
        <w:t>)</w:t>
      </w:r>
      <w:r w:rsidR="0054678E">
        <w:rPr>
          <w:rtl/>
        </w:rPr>
        <w:fldChar w:fldCharType="end"/>
      </w:r>
      <w:r w:rsidR="00366061">
        <w:rPr>
          <w:rFonts w:hint="cs"/>
          <w:rtl/>
        </w:rPr>
        <w:t>.</w:t>
      </w:r>
      <w:r w:rsidR="00834618">
        <w:t xml:space="preserve"> </w:t>
      </w:r>
      <w:r>
        <w:rPr>
          <w:rtl/>
        </w:rPr>
        <w:t xml:space="preserve">بنابراین، نوآوری اصلی پژوهش حاضر در </w:t>
      </w:r>
      <w:r w:rsidRPr="00834618">
        <w:rPr>
          <w:rStyle w:val="Strong"/>
          <w:b w:val="0"/>
          <w:bCs w:val="0"/>
          <w:rtl/>
        </w:rPr>
        <w:t>پیوند دادن ارزیابی راهبردی محیط‌زیست با تحلیل فضایی</w:t>
      </w:r>
      <w:r w:rsidRPr="00834618">
        <w:rPr>
          <w:rStyle w:val="Strong"/>
          <w:b w:val="0"/>
          <w:bCs w:val="0"/>
        </w:rPr>
        <w:t xml:space="preserve"> GIS </w:t>
      </w:r>
      <w:r w:rsidRPr="00834618">
        <w:rPr>
          <w:rStyle w:val="Strong"/>
          <w:b w:val="0"/>
          <w:bCs w:val="0"/>
          <w:rtl/>
        </w:rPr>
        <w:t>و وزن‌دهی چندمعیاره</w:t>
      </w:r>
      <w:r w:rsidRPr="00834618">
        <w:rPr>
          <w:rStyle w:val="Strong"/>
          <w:b w:val="0"/>
          <w:bCs w:val="0"/>
        </w:rPr>
        <w:t xml:space="preserve"> AHP </w:t>
      </w:r>
      <w:r w:rsidRPr="00834618">
        <w:rPr>
          <w:rStyle w:val="Strong"/>
          <w:b w:val="0"/>
          <w:bCs w:val="0"/>
          <w:rtl/>
        </w:rPr>
        <w:t>برای پشتیبانی کمی و جغرافیایی از تصمیم‌گیری درباره توسعه معدن مس</w:t>
      </w:r>
      <w:r>
        <w:rPr>
          <w:rtl/>
        </w:rPr>
        <w:t xml:space="preserve"> است، نه صرفاً در استفاده مستقل از</w:t>
      </w:r>
      <w:r>
        <w:t xml:space="preserve"> GIS </w:t>
      </w:r>
      <w:r>
        <w:rPr>
          <w:rtl/>
        </w:rPr>
        <w:t>یا</w:t>
      </w:r>
      <w:r>
        <w:t xml:space="preserve"> </w:t>
      </w:r>
      <w:r w:rsidRPr="0083336A">
        <w:rPr>
          <w:szCs w:val="28"/>
        </w:rPr>
        <w:t>AHP</w:t>
      </w:r>
      <w:r w:rsidR="00834618">
        <w:rPr>
          <w:rFonts w:hint="cs"/>
          <w:sz w:val="18"/>
          <w:szCs w:val="22"/>
          <w:rtl/>
          <w:lang w:bidi="fa-IR"/>
        </w:rPr>
        <w:t xml:space="preserve"> </w:t>
      </w:r>
      <w:r w:rsidR="00834618" w:rsidRPr="00834618">
        <w:rPr>
          <w:rStyle w:val="Strong"/>
          <w:rFonts w:hint="cs"/>
          <w:b w:val="0"/>
          <w:bCs w:val="0"/>
          <w:rtl/>
        </w:rPr>
        <w:t>می‌باشد</w:t>
      </w:r>
      <w:r w:rsidR="00834618" w:rsidRPr="00834618">
        <w:rPr>
          <w:rStyle w:val="Strong"/>
          <w:rFonts w:hint="cs"/>
          <w:rtl/>
        </w:rPr>
        <w:t>.</w:t>
      </w:r>
      <w:r w:rsidR="00834618">
        <w:t xml:space="preserve"> </w:t>
      </w:r>
    </w:p>
    <w:p w14:paraId="4E86F719" w14:textId="77777777" w:rsidR="00462C54" w:rsidRPr="00834618" w:rsidRDefault="00834618" w:rsidP="002112C3">
      <w:pPr>
        <w:spacing w:after="40"/>
        <w:rPr>
          <w:b/>
          <w:bCs/>
        </w:rPr>
      </w:pPr>
      <w:r w:rsidRPr="00834618">
        <w:rPr>
          <w:rtl/>
        </w:rPr>
        <w:t>مرور مطالعات نشان م</w:t>
      </w:r>
      <w:r w:rsidRPr="00834618">
        <w:rPr>
          <w:rFonts w:hint="cs"/>
          <w:rtl/>
        </w:rPr>
        <w:t>ی‌</w:t>
      </w:r>
      <w:r w:rsidRPr="00834618">
        <w:rPr>
          <w:rFonts w:hint="eastAsia"/>
          <w:rtl/>
        </w:rPr>
        <w:t>دهد</w:t>
      </w:r>
      <w:r w:rsidRPr="00834618">
        <w:rPr>
          <w:rtl/>
        </w:rPr>
        <w:t xml:space="preserve"> که </w:t>
      </w:r>
      <w:r w:rsidRPr="00834618">
        <w:t>GIS–AHP</w:t>
      </w:r>
      <w:r w:rsidRPr="00834618">
        <w:rPr>
          <w:rtl/>
        </w:rPr>
        <w:t xml:space="preserve"> در حوزه‌ها</w:t>
      </w:r>
      <w:r w:rsidRPr="00834618">
        <w:rPr>
          <w:rFonts w:hint="cs"/>
          <w:rtl/>
        </w:rPr>
        <w:t>یی</w:t>
      </w:r>
      <w:r w:rsidRPr="00834618">
        <w:rPr>
          <w:rtl/>
        </w:rPr>
        <w:t xml:space="preserve"> مانند ارز</w:t>
      </w:r>
      <w:r w:rsidRPr="00834618">
        <w:rPr>
          <w:rFonts w:hint="cs"/>
          <w:rtl/>
        </w:rPr>
        <w:t>ی</w:t>
      </w:r>
      <w:r w:rsidRPr="00834618">
        <w:rPr>
          <w:rFonts w:hint="eastAsia"/>
          <w:rtl/>
        </w:rPr>
        <w:t>اب</w:t>
      </w:r>
      <w:r w:rsidRPr="00834618">
        <w:rPr>
          <w:rFonts w:hint="cs"/>
          <w:rtl/>
        </w:rPr>
        <w:t>ی</w:t>
      </w:r>
      <w:r w:rsidRPr="00834618">
        <w:rPr>
          <w:rtl/>
        </w:rPr>
        <w:t xml:space="preserve"> تناسب سرزم</w:t>
      </w:r>
      <w:r w:rsidRPr="00834618">
        <w:rPr>
          <w:rFonts w:hint="cs"/>
          <w:rtl/>
        </w:rPr>
        <w:t>ی</w:t>
      </w:r>
      <w:r w:rsidRPr="00834618">
        <w:rPr>
          <w:rFonts w:hint="eastAsia"/>
          <w:rtl/>
        </w:rPr>
        <w:t>ن،</w:t>
      </w:r>
      <w:r w:rsidRPr="00834618">
        <w:rPr>
          <w:rtl/>
        </w:rPr>
        <w:t xml:space="preserve"> مکان</w:t>
      </w:r>
      <w:r w:rsidRPr="00834618">
        <w:rPr>
          <w:rFonts w:hint="cs"/>
          <w:rtl/>
        </w:rPr>
        <w:t>ی</w:t>
      </w:r>
      <w:r w:rsidRPr="00834618">
        <w:rPr>
          <w:rFonts w:hint="eastAsia"/>
          <w:rtl/>
        </w:rPr>
        <w:t>اب</w:t>
      </w:r>
      <w:r w:rsidRPr="00834618">
        <w:rPr>
          <w:rFonts w:hint="cs"/>
          <w:rtl/>
        </w:rPr>
        <w:t>ی</w:t>
      </w:r>
      <w:r w:rsidRPr="00834618">
        <w:rPr>
          <w:rFonts w:hint="eastAsia"/>
          <w:rtl/>
        </w:rPr>
        <w:t>،</w:t>
      </w:r>
      <w:r w:rsidRPr="00834618">
        <w:rPr>
          <w:rtl/>
        </w:rPr>
        <w:t xml:space="preserve"> مد</w:t>
      </w:r>
      <w:r w:rsidRPr="00834618">
        <w:rPr>
          <w:rFonts w:hint="cs"/>
          <w:rtl/>
        </w:rPr>
        <w:t>ی</w:t>
      </w:r>
      <w:r w:rsidRPr="00834618">
        <w:rPr>
          <w:rFonts w:hint="eastAsia"/>
          <w:rtl/>
        </w:rPr>
        <w:t>ر</w:t>
      </w:r>
      <w:r w:rsidRPr="00834618">
        <w:rPr>
          <w:rFonts w:hint="cs"/>
          <w:rtl/>
        </w:rPr>
        <w:t>ی</w:t>
      </w:r>
      <w:r w:rsidRPr="00834618">
        <w:rPr>
          <w:rFonts w:hint="eastAsia"/>
          <w:rtl/>
        </w:rPr>
        <w:t>ت</w:t>
      </w:r>
      <w:r w:rsidRPr="00834618">
        <w:rPr>
          <w:rtl/>
        </w:rPr>
        <w:t xml:space="preserve"> منابع طب</w:t>
      </w:r>
      <w:r w:rsidRPr="00834618">
        <w:rPr>
          <w:rFonts w:hint="cs"/>
          <w:rtl/>
        </w:rPr>
        <w:t>ی</w:t>
      </w:r>
      <w:r w:rsidRPr="00834618">
        <w:rPr>
          <w:rFonts w:hint="eastAsia"/>
          <w:rtl/>
        </w:rPr>
        <w:t>ع</w:t>
      </w:r>
      <w:r w:rsidRPr="00834618">
        <w:rPr>
          <w:rFonts w:hint="cs"/>
          <w:rtl/>
        </w:rPr>
        <w:t>ی</w:t>
      </w:r>
      <w:r w:rsidRPr="00834618">
        <w:rPr>
          <w:rtl/>
        </w:rPr>
        <w:t xml:space="preserve"> و برنامه‌ر</w:t>
      </w:r>
      <w:r w:rsidRPr="00834618">
        <w:rPr>
          <w:rFonts w:hint="cs"/>
          <w:rtl/>
        </w:rPr>
        <w:t>ی</w:t>
      </w:r>
      <w:r w:rsidRPr="00834618">
        <w:rPr>
          <w:rFonts w:hint="eastAsia"/>
          <w:rtl/>
        </w:rPr>
        <w:t>ز</w:t>
      </w:r>
      <w:r w:rsidRPr="00834618">
        <w:rPr>
          <w:rFonts w:hint="cs"/>
          <w:rtl/>
        </w:rPr>
        <w:t>ی</w:t>
      </w:r>
      <w:r w:rsidRPr="00834618">
        <w:rPr>
          <w:rtl/>
        </w:rPr>
        <w:t xml:space="preserve"> فضا</w:t>
      </w:r>
      <w:r w:rsidRPr="00834618">
        <w:rPr>
          <w:rFonts w:hint="cs"/>
          <w:rtl/>
        </w:rPr>
        <w:t>یی</w:t>
      </w:r>
      <w:r w:rsidRPr="00834618">
        <w:rPr>
          <w:rtl/>
        </w:rPr>
        <w:t xml:space="preserve"> کاربرد گسترده‌ا</w:t>
      </w:r>
      <w:r w:rsidRPr="00834618">
        <w:rPr>
          <w:rFonts w:hint="cs"/>
          <w:rtl/>
        </w:rPr>
        <w:t>ی</w:t>
      </w:r>
      <w:r w:rsidRPr="00834618">
        <w:rPr>
          <w:rtl/>
        </w:rPr>
        <w:t xml:space="preserve"> </w:t>
      </w:r>
      <w:r w:rsidRPr="00834618">
        <w:rPr>
          <w:rFonts w:hint="cs"/>
          <w:rtl/>
        </w:rPr>
        <w:t>ی</w:t>
      </w:r>
      <w:r w:rsidRPr="00834618">
        <w:rPr>
          <w:rFonts w:hint="eastAsia"/>
          <w:rtl/>
        </w:rPr>
        <w:t>افته</w:t>
      </w:r>
      <w:r w:rsidRPr="00834618">
        <w:rPr>
          <w:rtl/>
        </w:rPr>
        <w:t xml:space="preserve"> است؛ در مقابل، مطالعات </w:t>
      </w:r>
      <w:r w:rsidRPr="00834618">
        <w:t>SEA</w:t>
      </w:r>
      <w:r w:rsidRPr="00834618">
        <w:rPr>
          <w:rtl/>
        </w:rPr>
        <w:t xml:space="preserve"> ب</w:t>
      </w:r>
      <w:r w:rsidRPr="00834618">
        <w:rPr>
          <w:rFonts w:hint="cs"/>
          <w:rtl/>
        </w:rPr>
        <w:t>ی</w:t>
      </w:r>
      <w:r w:rsidRPr="00834618">
        <w:rPr>
          <w:rFonts w:hint="eastAsia"/>
          <w:rtl/>
        </w:rPr>
        <w:t>شتر</w:t>
      </w:r>
      <w:r w:rsidRPr="00834618">
        <w:rPr>
          <w:rtl/>
        </w:rPr>
        <w:t xml:space="preserve"> بر سطوح س</w:t>
      </w:r>
      <w:r w:rsidRPr="00834618">
        <w:rPr>
          <w:rFonts w:hint="cs"/>
          <w:rtl/>
        </w:rPr>
        <w:t>ی</w:t>
      </w:r>
      <w:r w:rsidRPr="00834618">
        <w:rPr>
          <w:rFonts w:hint="eastAsia"/>
          <w:rtl/>
        </w:rPr>
        <w:t>است،</w:t>
      </w:r>
      <w:r w:rsidRPr="00834618">
        <w:rPr>
          <w:rtl/>
        </w:rPr>
        <w:t xml:space="preserve"> برنامه، طرح و آثار تجمع</w:t>
      </w:r>
      <w:r w:rsidRPr="00834618">
        <w:rPr>
          <w:rFonts w:hint="cs"/>
          <w:rtl/>
        </w:rPr>
        <w:t>ی</w:t>
      </w:r>
      <w:r w:rsidRPr="00834618">
        <w:rPr>
          <w:rtl/>
        </w:rPr>
        <w:t xml:space="preserve"> تمرکز داشته‌اند. بنابرا</w:t>
      </w:r>
      <w:r w:rsidRPr="00834618">
        <w:rPr>
          <w:rFonts w:hint="cs"/>
          <w:rtl/>
        </w:rPr>
        <w:t>ی</w:t>
      </w:r>
      <w:r w:rsidRPr="00834618">
        <w:rPr>
          <w:rFonts w:hint="eastAsia"/>
          <w:rtl/>
        </w:rPr>
        <w:t>ن،</w:t>
      </w:r>
      <w:r w:rsidRPr="00834618">
        <w:rPr>
          <w:rtl/>
        </w:rPr>
        <w:t xml:space="preserve"> تلف</w:t>
      </w:r>
      <w:r w:rsidRPr="00834618">
        <w:rPr>
          <w:rFonts w:hint="cs"/>
          <w:rtl/>
        </w:rPr>
        <w:t>ی</w:t>
      </w:r>
      <w:r w:rsidRPr="00834618">
        <w:rPr>
          <w:rFonts w:hint="eastAsia"/>
          <w:rtl/>
        </w:rPr>
        <w:t>ق</w:t>
      </w:r>
      <w:r w:rsidRPr="00834618">
        <w:rPr>
          <w:rtl/>
        </w:rPr>
        <w:t xml:space="preserve"> ه</w:t>
      </w:r>
      <w:r w:rsidRPr="00834618">
        <w:rPr>
          <w:rFonts w:hint="eastAsia"/>
          <w:rtl/>
        </w:rPr>
        <w:t>مزمان</w:t>
      </w:r>
      <w:r w:rsidRPr="00834618">
        <w:rPr>
          <w:rtl/>
        </w:rPr>
        <w:t xml:space="preserve"> </w:t>
      </w:r>
      <w:r w:rsidRPr="00834618">
        <w:t>SEA</w:t>
      </w:r>
      <w:r w:rsidRPr="00834618">
        <w:rPr>
          <w:rtl/>
        </w:rPr>
        <w:t xml:space="preserve"> با </w:t>
      </w:r>
      <w:r w:rsidRPr="00834618">
        <w:t>GIS</w:t>
      </w:r>
      <w:r w:rsidRPr="00834618">
        <w:rPr>
          <w:rtl/>
        </w:rPr>
        <w:t xml:space="preserve"> و </w:t>
      </w:r>
      <w:r w:rsidRPr="00834618">
        <w:t>AHP</w:t>
      </w:r>
      <w:r w:rsidRPr="00834618">
        <w:rPr>
          <w:rtl/>
        </w:rPr>
        <w:t xml:space="preserve"> برا</w:t>
      </w:r>
      <w:r w:rsidRPr="00834618">
        <w:rPr>
          <w:rFonts w:hint="cs"/>
          <w:rtl/>
        </w:rPr>
        <w:t>ی</w:t>
      </w:r>
      <w:r w:rsidRPr="00834618">
        <w:rPr>
          <w:rtl/>
        </w:rPr>
        <w:t xml:space="preserve"> ارز</w:t>
      </w:r>
      <w:r w:rsidRPr="00834618">
        <w:rPr>
          <w:rFonts w:hint="cs"/>
          <w:rtl/>
        </w:rPr>
        <w:t>ی</w:t>
      </w:r>
      <w:r w:rsidRPr="00834618">
        <w:rPr>
          <w:rFonts w:hint="eastAsia"/>
          <w:rtl/>
        </w:rPr>
        <w:t>اب</w:t>
      </w:r>
      <w:r w:rsidRPr="00834618">
        <w:rPr>
          <w:rFonts w:hint="cs"/>
          <w:rtl/>
        </w:rPr>
        <w:t>ی</w:t>
      </w:r>
      <w:r w:rsidRPr="00834618">
        <w:rPr>
          <w:rtl/>
        </w:rPr>
        <w:t xml:space="preserve"> فضا</w:t>
      </w:r>
      <w:r w:rsidRPr="00834618">
        <w:rPr>
          <w:rFonts w:hint="cs"/>
          <w:rtl/>
        </w:rPr>
        <w:t>یی</w:t>
      </w:r>
      <w:r w:rsidRPr="00834618">
        <w:rPr>
          <w:rtl/>
        </w:rPr>
        <w:t xml:space="preserve"> توسعه معادن مس، به‌و</w:t>
      </w:r>
      <w:r w:rsidRPr="00834618">
        <w:rPr>
          <w:rFonts w:hint="cs"/>
          <w:rtl/>
        </w:rPr>
        <w:t>ی</w:t>
      </w:r>
      <w:r w:rsidRPr="00834618">
        <w:rPr>
          <w:rFonts w:hint="eastAsia"/>
          <w:rtl/>
        </w:rPr>
        <w:t>ژه</w:t>
      </w:r>
      <w:r w:rsidRPr="00834618">
        <w:rPr>
          <w:rtl/>
        </w:rPr>
        <w:t xml:space="preserve"> در مق</w:t>
      </w:r>
      <w:r w:rsidRPr="00834618">
        <w:rPr>
          <w:rFonts w:hint="cs"/>
          <w:rtl/>
        </w:rPr>
        <w:t>ی</w:t>
      </w:r>
      <w:r w:rsidRPr="00834618">
        <w:rPr>
          <w:rFonts w:hint="eastAsia"/>
          <w:rtl/>
        </w:rPr>
        <w:t>اس</w:t>
      </w:r>
      <w:r w:rsidRPr="00834618">
        <w:rPr>
          <w:rtl/>
        </w:rPr>
        <w:t xml:space="preserve"> برنامه‌ر</w:t>
      </w:r>
      <w:r w:rsidRPr="00834618">
        <w:rPr>
          <w:rFonts w:hint="cs"/>
          <w:rtl/>
        </w:rPr>
        <w:t>ی</w:t>
      </w:r>
      <w:r w:rsidRPr="00834618">
        <w:rPr>
          <w:rFonts w:hint="eastAsia"/>
          <w:rtl/>
        </w:rPr>
        <w:t>ز</w:t>
      </w:r>
      <w:r w:rsidRPr="00834618">
        <w:rPr>
          <w:rFonts w:hint="cs"/>
          <w:rtl/>
        </w:rPr>
        <w:t>ی</w:t>
      </w:r>
      <w:r w:rsidRPr="00834618">
        <w:rPr>
          <w:rtl/>
        </w:rPr>
        <w:t xml:space="preserve"> توسعه معدن سونگون، کمتر مورد توجه قرار گرفته است.</w:t>
      </w:r>
    </w:p>
    <w:p w14:paraId="2AC26827" w14:textId="77777777" w:rsidR="00834618" w:rsidRDefault="00834618" w:rsidP="00E1609B">
      <w:pPr>
        <w:rPr>
          <w:rFonts w:eastAsia="Times New Roman"/>
          <w:rtl/>
        </w:rPr>
      </w:pPr>
      <w:r w:rsidRPr="00834618">
        <w:rPr>
          <w:rtl/>
        </w:rPr>
        <w:lastRenderedPageBreak/>
        <w:t>بر ا</w:t>
      </w:r>
      <w:r w:rsidRPr="00834618">
        <w:rPr>
          <w:rFonts w:hint="cs"/>
          <w:rtl/>
        </w:rPr>
        <w:t>ی</w:t>
      </w:r>
      <w:r w:rsidRPr="00834618">
        <w:rPr>
          <w:rFonts w:hint="eastAsia"/>
          <w:rtl/>
        </w:rPr>
        <w:t>ن</w:t>
      </w:r>
      <w:r w:rsidRPr="00834618">
        <w:rPr>
          <w:rtl/>
        </w:rPr>
        <w:t xml:space="preserve"> اساس، نوآور</w:t>
      </w:r>
      <w:r w:rsidRPr="00834618">
        <w:rPr>
          <w:rFonts w:hint="cs"/>
          <w:rtl/>
        </w:rPr>
        <w:t>ی</w:t>
      </w:r>
      <w:r w:rsidRPr="00834618">
        <w:rPr>
          <w:rtl/>
        </w:rPr>
        <w:t xml:space="preserve"> پژوهش حاضر نه در استفاده مستقل از </w:t>
      </w:r>
      <w:r w:rsidRPr="00834618">
        <w:t>GIS</w:t>
      </w:r>
      <w:r w:rsidRPr="00834618">
        <w:rPr>
          <w:rtl/>
        </w:rPr>
        <w:t xml:space="preserve"> </w:t>
      </w:r>
      <w:r w:rsidRPr="00834618">
        <w:rPr>
          <w:rFonts w:hint="cs"/>
          <w:rtl/>
        </w:rPr>
        <w:t>ی</w:t>
      </w:r>
      <w:r w:rsidRPr="00834618">
        <w:rPr>
          <w:rFonts w:hint="eastAsia"/>
          <w:rtl/>
        </w:rPr>
        <w:t>ا</w:t>
      </w:r>
      <w:r w:rsidRPr="00834618">
        <w:rPr>
          <w:rtl/>
        </w:rPr>
        <w:t xml:space="preserve"> </w:t>
      </w:r>
      <w:r w:rsidRPr="00834618">
        <w:t>AHP</w:t>
      </w:r>
      <w:r w:rsidRPr="00834618">
        <w:rPr>
          <w:rtl/>
        </w:rPr>
        <w:t>، بلکه در تلف</w:t>
      </w:r>
      <w:r w:rsidRPr="00834618">
        <w:rPr>
          <w:rFonts w:hint="cs"/>
          <w:rtl/>
        </w:rPr>
        <w:t>ی</w:t>
      </w:r>
      <w:r w:rsidRPr="00834618">
        <w:rPr>
          <w:rFonts w:hint="eastAsia"/>
          <w:rtl/>
        </w:rPr>
        <w:t>ق</w:t>
      </w:r>
      <w:r w:rsidRPr="00834618">
        <w:rPr>
          <w:rtl/>
        </w:rPr>
        <w:t xml:space="preserve"> چارچوب </w:t>
      </w:r>
      <w:r w:rsidRPr="00834618">
        <w:t>SEA</w:t>
      </w:r>
      <w:r w:rsidRPr="00834618">
        <w:rPr>
          <w:rtl/>
        </w:rPr>
        <w:t xml:space="preserve"> با </w:t>
      </w:r>
      <w:r w:rsidRPr="00834618">
        <w:t>GIS</w:t>
      </w:r>
      <w:r w:rsidRPr="00834618">
        <w:rPr>
          <w:rtl/>
        </w:rPr>
        <w:t xml:space="preserve"> و </w:t>
      </w:r>
      <w:r w:rsidRPr="00834618">
        <w:t>AHP</w:t>
      </w:r>
      <w:r w:rsidRPr="00834618">
        <w:rPr>
          <w:rtl/>
        </w:rPr>
        <w:t xml:space="preserve"> برا</w:t>
      </w:r>
      <w:r w:rsidRPr="00834618">
        <w:rPr>
          <w:rFonts w:hint="cs"/>
          <w:rtl/>
        </w:rPr>
        <w:t>ی</w:t>
      </w:r>
      <w:r w:rsidRPr="00834618">
        <w:rPr>
          <w:rtl/>
        </w:rPr>
        <w:t xml:space="preserve"> ا</w:t>
      </w:r>
      <w:r w:rsidRPr="00834618">
        <w:rPr>
          <w:rFonts w:hint="cs"/>
          <w:rtl/>
        </w:rPr>
        <w:t>ی</w:t>
      </w:r>
      <w:r w:rsidRPr="00834618">
        <w:rPr>
          <w:rFonts w:hint="eastAsia"/>
          <w:rtl/>
        </w:rPr>
        <w:t>جاد</w:t>
      </w:r>
      <w:r w:rsidRPr="00834618">
        <w:rPr>
          <w:rtl/>
        </w:rPr>
        <w:t xml:space="preserve"> </w:t>
      </w:r>
      <w:r w:rsidRPr="00834618">
        <w:rPr>
          <w:rFonts w:hint="cs"/>
          <w:rtl/>
        </w:rPr>
        <w:t>ی</w:t>
      </w:r>
      <w:r w:rsidRPr="00834618">
        <w:rPr>
          <w:rFonts w:hint="eastAsia"/>
          <w:rtl/>
        </w:rPr>
        <w:t>ک</w:t>
      </w:r>
      <w:r w:rsidRPr="00834618">
        <w:rPr>
          <w:rtl/>
        </w:rPr>
        <w:t xml:space="preserve"> مدل تصم</w:t>
      </w:r>
      <w:r w:rsidRPr="00834618">
        <w:rPr>
          <w:rFonts w:hint="cs"/>
          <w:rtl/>
        </w:rPr>
        <w:t>ی</w:t>
      </w:r>
      <w:r w:rsidRPr="00834618">
        <w:rPr>
          <w:rFonts w:hint="eastAsia"/>
          <w:rtl/>
        </w:rPr>
        <w:t>م‌</w:t>
      </w:r>
      <w:r w:rsidRPr="00834618">
        <w:rPr>
          <w:rFonts w:hint="cs"/>
          <w:rtl/>
        </w:rPr>
        <w:t>ی</w:t>
      </w:r>
      <w:r w:rsidRPr="00834618">
        <w:rPr>
          <w:rFonts w:hint="eastAsia"/>
          <w:rtl/>
        </w:rPr>
        <w:t>ار</w:t>
      </w:r>
      <w:r w:rsidRPr="00834618">
        <w:rPr>
          <w:rtl/>
        </w:rPr>
        <w:t xml:space="preserve"> فضا</w:t>
      </w:r>
      <w:r w:rsidRPr="00834618">
        <w:rPr>
          <w:rFonts w:hint="cs"/>
          <w:rtl/>
        </w:rPr>
        <w:t>یی</w:t>
      </w:r>
      <w:r w:rsidRPr="00834618">
        <w:rPr>
          <w:rtl/>
        </w:rPr>
        <w:t xml:space="preserve"> در برنامه‌ر</w:t>
      </w:r>
      <w:r w:rsidRPr="00834618">
        <w:rPr>
          <w:rFonts w:hint="cs"/>
          <w:rtl/>
        </w:rPr>
        <w:t>ی</w:t>
      </w:r>
      <w:r w:rsidRPr="00834618">
        <w:rPr>
          <w:rFonts w:hint="eastAsia"/>
          <w:rtl/>
        </w:rPr>
        <w:t>ز</w:t>
      </w:r>
      <w:r w:rsidRPr="00834618">
        <w:rPr>
          <w:rFonts w:hint="cs"/>
          <w:rtl/>
        </w:rPr>
        <w:t>ی</w:t>
      </w:r>
      <w:r w:rsidRPr="00834618">
        <w:rPr>
          <w:rtl/>
        </w:rPr>
        <w:t xml:space="preserve"> توسعه معدن مس سونگون است. در ا</w:t>
      </w:r>
      <w:r w:rsidRPr="00834618">
        <w:rPr>
          <w:rFonts w:hint="cs"/>
          <w:rtl/>
        </w:rPr>
        <w:t>ی</w:t>
      </w:r>
      <w:r w:rsidRPr="00834618">
        <w:rPr>
          <w:rFonts w:hint="eastAsia"/>
          <w:rtl/>
        </w:rPr>
        <w:t>ن</w:t>
      </w:r>
      <w:r w:rsidRPr="00834618">
        <w:rPr>
          <w:rtl/>
        </w:rPr>
        <w:t xml:space="preserve"> چارچوب، مع</w:t>
      </w:r>
      <w:r w:rsidRPr="00834618">
        <w:rPr>
          <w:rFonts w:hint="cs"/>
          <w:rtl/>
        </w:rPr>
        <w:t>ی</w:t>
      </w:r>
      <w:r w:rsidRPr="00834618">
        <w:rPr>
          <w:rFonts w:hint="eastAsia"/>
          <w:rtl/>
        </w:rPr>
        <w:t>ارها</w:t>
      </w:r>
      <w:r w:rsidRPr="00834618">
        <w:rPr>
          <w:rFonts w:hint="cs"/>
          <w:rtl/>
        </w:rPr>
        <w:t>ی</w:t>
      </w:r>
      <w:r w:rsidRPr="00834618">
        <w:rPr>
          <w:rtl/>
        </w:rPr>
        <w:t xml:space="preserve"> طب</w:t>
      </w:r>
      <w:r w:rsidRPr="00834618">
        <w:rPr>
          <w:rFonts w:hint="cs"/>
          <w:rtl/>
        </w:rPr>
        <w:t>ی</w:t>
      </w:r>
      <w:r w:rsidRPr="00834618">
        <w:rPr>
          <w:rFonts w:hint="eastAsia"/>
          <w:rtl/>
        </w:rPr>
        <w:t>ع</w:t>
      </w:r>
      <w:r w:rsidRPr="00834618">
        <w:rPr>
          <w:rFonts w:hint="cs"/>
          <w:rtl/>
        </w:rPr>
        <w:t>ی</w:t>
      </w:r>
      <w:r w:rsidRPr="00834618">
        <w:rPr>
          <w:rtl/>
        </w:rPr>
        <w:t xml:space="preserve"> و انسان</w:t>
      </w:r>
      <w:r w:rsidRPr="00834618">
        <w:rPr>
          <w:rFonts w:hint="cs"/>
          <w:rtl/>
        </w:rPr>
        <w:t>ی</w:t>
      </w:r>
      <w:r w:rsidRPr="00834618">
        <w:rPr>
          <w:rtl/>
        </w:rPr>
        <w:t xml:space="preserve"> به‌طور همزمان در فرآ</w:t>
      </w:r>
      <w:r w:rsidRPr="00834618">
        <w:rPr>
          <w:rFonts w:hint="cs"/>
          <w:rtl/>
        </w:rPr>
        <w:t>ی</w:t>
      </w:r>
      <w:r w:rsidRPr="00834618">
        <w:rPr>
          <w:rFonts w:hint="eastAsia"/>
          <w:rtl/>
        </w:rPr>
        <w:t>ند</w:t>
      </w:r>
      <w:r w:rsidRPr="00834618">
        <w:rPr>
          <w:rtl/>
        </w:rPr>
        <w:t xml:space="preserve"> تصم</w:t>
      </w:r>
      <w:r w:rsidRPr="00834618">
        <w:rPr>
          <w:rFonts w:hint="cs"/>
          <w:rtl/>
        </w:rPr>
        <w:t>ی</w:t>
      </w:r>
      <w:r w:rsidRPr="00834618">
        <w:rPr>
          <w:rFonts w:hint="eastAsia"/>
          <w:rtl/>
        </w:rPr>
        <w:t>م‌گ</w:t>
      </w:r>
      <w:r w:rsidRPr="00834618">
        <w:rPr>
          <w:rFonts w:hint="cs"/>
          <w:rtl/>
        </w:rPr>
        <w:t>ی</w:t>
      </w:r>
      <w:r w:rsidRPr="00834618">
        <w:rPr>
          <w:rFonts w:hint="eastAsia"/>
          <w:rtl/>
        </w:rPr>
        <w:t>ر</w:t>
      </w:r>
      <w:r w:rsidRPr="00834618">
        <w:rPr>
          <w:rFonts w:hint="cs"/>
          <w:rtl/>
        </w:rPr>
        <w:t>ی</w:t>
      </w:r>
      <w:r w:rsidRPr="00834618">
        <w:rPr>
          <w:rtl/>
        </w:rPr>
        <w:t xml:space="preserve"> وار</w:t>
      </w:r>
      <w:r w:rsidRPr="00834618">
        <w:rPr>
          <w:rFonts w:hint="eastAsia"/>
          <w:rtl/>
        </w:rPr>
        <w:t>د</w:t>
      </w:r>
      <w:r w:rsidRPr="00834618">
        <w:rPr>
          <w:rtl/>
        </w:rPr>
        <w:t xml:space="preserve"> شده و خروج</w:t>
      </w:r>
      <w:r w:rsidRPr="00834618">
        <w:rPr>
          <w:rFonts w:hint="cs"/>
          <w:rtl/>
        </w:rPr>
        <w:t>ی</w:t>
      </w:r>
      <w:r w:rsidRPr="00834618">
        <w:rPr>
          <w:rtl/>
        </w:rPr>
        <w:t xml:space="preserve"> مدل به‌صورت </w:t>
      </w:r>
      <w:r w:rsidRPr="00834618">
        <w:rPr>
          <w:rFonts w:hint="cs"/>
          <w:rtl/>
        </w:rPr>
        <w:t>ی</w:t>
      </w:r>
      <w:r w:rsidRPr="00834618">
        <w:rPr>
          <w:rFonts w:hint="eastAsia"/>
          <w:rtl/>
        </w:rPr>
        <w:t>ک</w:t>
      </w:r>
      <w:r w:rsidRPr="00834618">
        <w:rPr>
          <w:rtl/>
        </w:rPr>
        <w:t xml:space="preserve"> نقشه تناسب مح</w:t>
      </w:r>
      <w:r w:rsidRPr="00834618">
        <w:rPr>
          <w:rFonts w:hint="cs"/>
          <w:rtl/>
        </w:rPr>
        <w:t>ی</w:t>
      </w:r>
      <w:r w:rsidRPr="00834618">
        <w:rPr>
          <w:rFonts w:hint="eastAsia"/>
          <w:rtl/>
        </w:rPr>
        <w:t>ط‌ز</w:t>
      </w:r>
      <w:r w:rsidRPr="00834618">
        <w:rPr>
          <w:rFonts w:hint="cs"/>
          <w:rtl/>
        </w:rPr>
        <w:t>ی</w:t>
      </w:r>
      <w:r w:rsidRPr="00834618">
        <w:rPr>
          <w:rFonts w:hint="eastAsia"/>
          <w:rtl/>
        </w:rPr>
        <w:t>ست</w:t>
      </w:r>
      <w:r w:rsidRPr="00834618">
        <w:rPr>
          <w:rFonts w:hint="cs"/>
          <w:rtl/>
        </w:rPr>
        <w:t>ی</w:t>
      </w:r>
      <w:r w:rsidRPr="00834618">
        <w:rPr>
          <w:rtl/>
        </w:rPr>
        <w:t xml:space="preserve"> ارائه م</w:t>
      </w:r>
      <w:r w:rsidRPr="00834618">
        <w:rPr>
          <w:rFonts w:hint="cs"/>
          <w:rtl/>
        </w:rPr>
        <w:t>ی‌</w:t>
      </w:r>
      <w:r w:rsidRPr="00834618">
        <w:rPr>
          <w:rFonts w:hint="eastAsia"/>
          <w:rtl/>
        </w:rPr>
        <w:t>شود</w:t>
      </w:r>
      <w:r w:rsidRPr="00834618">
        <w:rPr>
          <w:rtl/>
        </w:rPr>
        <w:t xml:space="preserve">. </w:t>
      </w:r>
    </w:p>
    <w:p w14:paraId="7F22737C" w14:textId="77777777" w:rsidR="00462C54" w:rsidRPr="00462C54" w:rsidRDefault="00462C54" w:rsidP="00E1609B">
      <w:pPr>
        <w:pStyle w:val="Heading1"/>
        <w:rPr>
          <w:rFonts w:eastAsia="Times New Roman"/>
        </w:rPr>
      </w:pPr>
      <w:r w:rsidRPr="00462C54">
        <w:rPr>
          <w:rFonts w:eastAsia="Times New Roman"/>
          <w:rtl/>
        </w:rPr>
        <w:t>مواد و روش‌ها</w:t>
      </w:r>
    </w:p>
    <w:p w14:paraId="67B55BA6" w14:textId="77777777" w:rsidR="00462C54" w:rsidRPr="0083336A" w:rsidRDefault="00462C54" w:rsidP="0083336A">
      <w:pPr>
        <w:pStyle w:val="Heading2"/>
        <w:rPr>
          <w:b w:val="0"/>
          <w:bCs w:val="0"/>
        </w:rPr>
      </w:pPr>
      <w:r w:rsidRPr="0083336A">
        <w:rPr>
          <w:b w:val="0"/>
          <w:bCs w:val="0"/>
          <w:rtl/>
        </w:rPr>
        <w:t>منطقه مورد مطالعه</w:t>
      </w:r>
    </w:p>
    <w:p w14:paraId="3389D608" w14:textId="459E4419" w:rsidR="00462C54" w:rsidRPr="00462C54" w:rsidRDefault="00462C54" w:rsidP="002112C3">
      <w:pPr>
        <w:spacing w:after="40"/>
      </w:pPr>
      <w:r w:rsidRPr="00462C54">
        <w:rPr>
          <w:rtl/>
        </w:rPr>
        <w:t>محدوده مورد مطالعه شامل معدن مس سونگون و عرصه‌های پیرامونی آن در شهرستان ورزقان، استان آذربایجان شرقی، در شمال‌غرب ایران است. معدن مس سونگون در یک پهنه کوهستانی با تنوع قابل توجه توپوگرافی، منابع آب، پوشش و کاربری اراضی، سکونتگاه‌های انسانی و عرصه‌های دارای حساسیت محیط‌زیستی قرار گرفته است. چنین شرایطی موجب می‌شود توسعه فعالیت‌های معدنی در منطقه، علاوه بر ملاحظات اقتصادی و فنی، نیازمند توجه همزمان به محدودیت‌ها و ظرفیت‌های محیط‌زیستی باشد</w:t>
      </w:r>
      <w:r w:rsidR="0083336A">
        <w:rPr>
          <w:rFonts w:hint="cs"/>
          <w:rtl/>
        </w:rPr>
        <w:t>.</w:t>
      </w:r>
      <w:r w:rsidRPr="00462C54">
        <w:t xml:space="preserve"> </w:t>
      </w:r>
    </w:p>
    <w:p w14:paraId="49E4CBDE" w14:textId="77777777" w:rsidR="00462C54" w:rsidRDefault="00462C54" w:rsidP="002112C3">
      <w:pPr>
        <w:spacing w:after="40"/>
        <w:rPr>
          <w:rtl/>
        </w:rPr>
      </w:pPr>
      <w:r w:rsidRPr="00462C54">
        <w:rPr>
          <w:rtl/>
        </w:rPr>
        <w:t>با توجه به ماهیت راهبردی پژوهش، محدوده تحلیل صرفاً به عرصه بهره‌برداری فعلی معدن محدود نشد، بلکه عرصه‌های پیرامونی نیز در تحلیل فضایی وارد شدند تا امکان شناسایی پهنه‌های دارای درجات مختلف تناسب محیط‌زیستی برای توسعه آتی فراهم شود</w:t>
      </w:r>
      <w:r w:rsidRPr="00462C54">
        <w:t>.</w:t>
      </w:r>
    </w:p>
    <w:tbl>
      <w:tblPr>
        <w:bidiVisual/>
        <w:tblW w:w="0" w:type="auto"/>
        <w:tblLook w:val="04A0" w:firstRow="1" w:lastRow="0" w:firstColumn="1" w:lastColumn="0" w:noHBand="0" w:noVBand="1"/>
      </w:tblPr>
      <w:tblGrid>
        <w:gridCol w:w="9060"/>
      </w:tblGrid>
      <w:tr w:rsidR="00834618" w:rsidRPr="000539CD" w14:paraId="39C7F433" w14:textId="77777777" w:rsidTr="00834618">
        <w:tc>
          <w:tcPr>
            <w:tcW w:w="9060" w:type="dxa"/>
            <w:vAlign w:val="center"/>
          </w:tcPr>
          <w:p w14:paraId="696DF11E" w14:textId="77777777" w:rsidR="00834618" w:rsidRPr="00601C46" w:rsidRDefault="00834618" w:rsidP="00834618">
            <w:pPr>
              <w:bidi w:val="0"/>
              <w:spacing w:before="100" w:beforeAutospacing="1" w:afterAutospacing="1"/>
              <w:ind w:firstLine="0"/>
              <w:jc w:val="center"/>
              <w:rPr>
                <w:rFonts w:eastAsia="Times New Roman" w:cs="Times New Roman"/>
                <w:color w:val="auto"/>
                <w:sz w:val="24"/>
                <w:szCs w:val="24"/>
              </w:rPr>
            </w:pPr>
            <w:r w:rsidRPr="00601C46">
              <w:rPr>
                <w:rFonts w:eastAsia="Times New Roman" w:cs="Times New Roman"/>
                <w:noProof/>
                <w:color w:val="auto"/>
                <w:sz w:val="19"/>
                <w:szCs w:val="24"/>
              </w:rPr>
              <w:drawing>
                <wp:inline distT="0" distB="0" distL="0" distR="0" wp14:anchorId="3BD01936" wp14:editId="3963F034">
                  <wp:extent cx="4632668" cy="3276000"/>
                  <wp:effectExtent l="114300" t="114300" r="111125" b="153035"/>
                  <wp:docPr id="5" name="Picture 5" descr="C:\Users\Gasr\AppData\Local\Temp\{C59BFC58-82EC-4AA7-950D-38A23CBF002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 descr="C:\Users\Gasr\AppData\Local\Temp\{C59BFC58-82EC-4AA7-950D-38A23CBF002C}.t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32668" cy="3276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834618" w:rsidRPr="000539CD" w14:paraId="047D4C2C" w14:textId="77777777" w:rsidTr="00CE10BB">
        <w:tc>
          <w:tcPr>
            <w:tcW w:w="9060" w:type="dxa"/>
          </w:tcPr>
          <w:p w14:paraId="46F01C5F" w14:textId="77777777" w:rsidR="00834618" w:rsidRPr="000539CD" w:rsidRDefault="00FD6CD7" w:rsidP="00CE10BB">
            <w:pPr>
              <w:ind w:firstLine="0"/>
              <w:jc w:val="center"/>
              <w:rPr>
                <w:sz w:val="18"/>
                <w:szCs w:val="22"/>
              </w:rPr>
            </w:pPr>
            <w:r w:rsidRPr="00FD6CD7">
              <w:rPr>
                <w:sz w:val="19"/>
                <w:szCs w:val="22"/>
                <w:rtl/>
              </w:rPr>
              <w:t>شکل 1: موقعیت جغرافیایی محدوده مورد مطالعه و معدن مس سونگون در استان آذربایجان شرقی</w:t>
            </w:r>
          </w:p>
        </w:tc>
      </w:tr>
      <w:tr w:rsidR="00E571FD" w:rsidRPr="000539CD" w14:paraId="07584738" w14:textId="77777777" w:rsidTr="00CE10BB">
        <w:tc>
          <w:tcPr>
            <w:tcW w:w="9060" w:type="dxa"/>
          </w:tcPr>
          <w:p w14:paraId="55DFD76D" w14:textId="77777777" w:rsidR="00E571FD" w:rsidRPr="00FD6CD7" w:rsidRDefault="00FD6CD7" w:rsidP="00CE10BB">
            <w:pPr>
              <w:ind w:firstLine="0"/>
              <w:jc w:val="center"/>
              <w:rPr>
                <w:sz w:val="19"/>
                <w:szCs w:val="22"/>
                <w:rtl/>
              </w:rPr>
            </w:pPr>
            <w:r w:rsidRPr="00FD6CD7">
              <w:rPr>
                <w:sz w:val="19"/>
                <w:szCs w:val="22"/>
              </w:rPr>
              <w:t>Figure 1: Location of the study area and Sungun Copper Mine in East Azerbaijan Province</w:t>
            </w:r>
          </w:p>
        </w:tc>
      </w:tr>
    </w:tbl>
    <w:p w14:paraId="60B0E1EB" w14:textId="77777777" w:rsidR="00462C54" w:rsidRPr="00462C54" w:rsidRDefault="00462C54" w:rsidP="00E1609B">
      <w:pPr>
        <w:pStyle w:val="Heading2"/>
      </w:pPr>
      <w:r w:rsidRPr="00462C54">
        <w:rPr>
          <w:rtl/>
        </w:rPr>
        <w:t>چارچوب کلی پژوهش</w:t>
      </w:r>
    </w:p>
    <w:p w14:paraId="7CD7E582" w14:textId="77777777" w:rsidR="00462C54" w:rsidRPr="00462C54" w:rsidRDefault="00462C54" w:rsidP="00834618">
      <w:pPr>
        <w:spacing w:after="40"/>
      </w:pPr>
      <w:r w:rsidRPr="00462C54">
        <w:rPr>
          <w:rtl/>
        </w:rPr>
        <w:t xml:space="preserve">این پژوهش با هدف ارزیابی راهبردی محیط‌زیست توسعه معدن مس سونگون و تولید یک شاخص مکانی برای شناسایی پهنه‌های دارای درجات مختلف تناسب محیط‌زیستی انجام شد. چارچوب روش‌شناختی پژوهش بر تلفیق </w:t>
      </w:r>
      <w:r w:rsidRPr="00462C54">
        <w:rPr>
          <w:rtl/>
        </w:rPr>
        <w:lastRenderedPageBreak/>
        <w:t xml:space="preserve">سه مؤلفه اصلی شامل </w:t>
      </w:r>
      <w:r w:rsidRPr="00834618">
        <w:rPr>
          <w:rtl/>
        </w:rPr>
        <w:t>ارزیابی راهبردی محیط‌زیست</w:t>
      </w:r>
      <w:r w:rsidRPr="00834618">
        <w:t xml:space="preserve"> (SEA)</w:t>
      </w:r>
      <w:r w:rsidRPr="00834618">
        <w:rPr>
          <w:rtl/>
        </w:rPr>
        <w:t>، سامانه اطلاعات جغرافیایی</w:t>
      </w:r>
      <w:r w:rsidRPr="00834618">
        <w:t xml:space="preserve"> (GIS) </w:t>
      </w:r>
      <w:r w:rsidRPr="00834618">
        <w:rPr>
          <w:rtl/>
        </w:rPr>
        <w:t>و فرآیند تحلیل سلسله‌مراتبی</w:t>
      </w:r>
      <w:r w:rsidRPr="00462C54">
        <w:rPr>
          <w:b/>
          <w:bCs/>
        </w:rPr>
        <w:t xml:space="preserve"> </w:t>
      </w:r>
      <w:r w:rsidRPr="00834618">
        <w:t>(AHP)</w:t>
      </w:r>
      <w:r w:rsidRPr="00462C54">
        <w:t xml:space="preserve"> </w:t>
      </w:r>
      <w:r w:rsidRPr="00462C54">
        <w:rPr>
          <w:rtl/>
        </w:rPr>
        <w:t>استوار است</w:t>
      </w:r>
      <w:r w:rsidRPr="00462C54">
        <w:t>.</w:t>
      </w:r>
    </w:p>
    <w:p w14:paraId="018CB713" w14:textId="77777777" w:rsidR="008A675A" w:rsidRDefault="008A675A" w:rsidP="00BE7135">
      <w:pPr>
        <w:spacing w:after="40"/>
        <w:rPr>
          <w:rtl/>
        </w:rPr>
      </w:pPr>
      <w:r>
        <w:rPr>
          <w:rtl/>
        </w:rPr>
        <w:t>در ا</w:t>
      </w:r>
      <w:r>
        <w:rPr>
          <w:rFonts w:hint="cs"/>
          <w:rtl/>
        </w:rPr>
        <w:t>ی</w:t>
      </w:r>
      <w:r>
        <w:rPr>
          <w:rFonts w:hint="eastAsia"/>
          <w:rtl/>
        </w:rPr>
        <w:t>ن</w:t>
      </w:r>
      <w:r>
        <w:rPr>
          <w:rtl/>
        </w:rPr>
        <w:t xml:space="preserve"> چارچوب، ابتدا مؤلفه‌ها</w:t>
      </w:r>
      <w:r>
        <w:rPr>
          <w:rFonts w:hint="cs"/>
          <w:rtl/>
        </w:rPr>
        <w:t>ی</w:t>
      </w:r>
      <w:r>
        <w:rPr>
          <w:rtl/>
        </w:rPr>
        <w:t xml:space="preserve"> حساس مح</w:t>
      </w:r>
      <w:r>
        <w:rPr>
          <w:rFonts w:hint="cs"/>
          <w:rtl/>
        </w:rPr>
        <w:t>ی</w:t>
      </w:r>
      <w:r>
        <w:rPr>
          <w:rFonts w:hint="eastAsia"/>
          <w:rtl/>
        </w:rPr>
        <w:t>ط‌ز</w:t>
      </w:r>
      <w:r>
        <w:rPr>
          <w:rFonts w:hint="cs"/>
          <w:rtl/>
        </w:rPr>
        <w:t>ی</w:t>
      </w:r>
      <w:r>
        <w:rPr>
          <w:rFonts w:hint="eastAsia"/>
          <w:rtl/>
        </w:rPr>
        <w:t>ست</w:t>
      </w:r>
      <w:r>
        <w:rPr>
          <w:rFonts w:hint="cs"/>
          <w:rtl/>
        </w:rPr>
        <w:t>ی</w:t>
      </w:r>
      <w:r>
        <w:rPr>
          <w:rtl/>
        </w:rPr>
        <w:t xml:space="preserve"> و انسان</w:t>
      </w:r>
      <w:r>
        <w:rPr>
          <w:rFonts w:hint="cs"/>
          <w:rtl/>
        </w:rPr>
        <w:t>ی</w:t>
      </w:r>
      <w:r>
        <w:rPr>
          <w:rtl/>
        </w:rPr>
        <w:t xml:space="preserve"> مرتبط با توسعه معدن شناسا</w:t>
      </w:r>
      <w:r>
        <w:rPr>
          <w:rFonts w:hint="cs"/>
          <w:rtl/>
        </w:rPr>
        <w:t>یی</w:t>
      </w:r>
      <w:r>
        <w:rPr>
          <w:rtl/>
        </w:rPr>
        <w:t xml:space="preserve"> شدند. سپس داده‌ها</w:t>
      </w:r>
      <w:r>
        <w:rPr>
          <w:rFonts w:hint="cs"/>
          <w:rtl/>
        </w:rPr>
        <w:t>ی</w:t>
      </w:r>
      <w:r>
        <w:rPr>
          <w:rtl/>
        </w:rPr>
        <w:t xml:space="preserve"> مکان</w:t>
      </w:r>
      <w:r>
        <w:rPr>
          <w:rFonts w:hint="cs"/>
          <w:rtl/>
        </w:rPr>
        <w:t>ی</w:t>
      </w:r>
      <w:r>
        <w:rPr>
          <w:rtl/>
        </w:rPr>
        <w:t xml:space="preserve"> مربوط به هر مع</w:t>
      </w:r>
      <w:r>
        <w:rPr>
          <w:rFonts w:hint="cs"/>
          <w:rtl/>
        </w:rPr>
        <w:t>ی</w:t>
      </w:r>
      <w:r>
        <w:rPr>
          <w:rFonts w:hint="eastAsia"/>
          <w:rtl/>
        </w:rPr>
        <w:t>ار</w:t>
      </w:r>
      <w:r>
        <w:rPr>
          <w:rtl/>
        </w:rPr>
        <w:t xml:space="preserve"> آماده‌ساز</w:t>
      </w:r>
      <w:r>
        <w:rPr>
          <w:rFonts w:hint="cs"/>
          <w:rtl/>
        </w:rPr>
        <w:t>ی</w:t>
      </w:r>
      <w:r>
        <w:rPr>
          <w:rtl/>
        </w:rPr>
        <w:t xml:space="preserve"> و در </w:t>
      </w:r>
      <w:r>
        <w:rPr>
          <w:rFonts w:hint="cs"/>
          <w:rtl/>
        </w:rPr>
        <w:t>ی</w:t>
      </w:r>
      <w:r>
        <w:rPr>
          <w:rFonts w:hint="eastAsia"/>
          <w:rtl/>
        </w:rPr>
        <w:t>ک</w:t>
      </w:r>
      <w:r>
        <w:rPr>
          <w:rtl/>
        </w:rPr>
        <w:t xml:space="preserve"> س</w:t>
      </w:r>
      <w:r>
        <w:rPr>
          <w:rFonts w:hint="cs"/>
          <w:rtl/>
        </w:rPr>
        <w:t>ی</w:t>
      </w:r>
      <w:r>
        <w:rPr>
          <w:rFonts w:hint="eastAsia"/>
          <w:rtl/>
        </w:rPr>
        <w:t>ستم</w:t>
      </w:r>
      <w:r>
        <w:rPr>
          <w:rtl/>
        </w:rPr>
        <w:t xml:space="preserve"> مختصات مشترک قرار گرفتند. در مرحله بعد، مع</w:t>
      </w:r>
      <w:r>
        <w:rPr>
          <w:rFonts w:hint="cs"/>
          <w:rtl/>
        </w:rPr>
        <w:t>ی</w:t>
      </w:r>
      <w:r>
        <w:rPr>
          <w:rFonts w:hint="eastAsia"/>
          <w:rtl/>
        </w:rPr>
        <w:t>ارها</w:t>
      </w:r>
      <w:r>
        <w:rPr>
          <w:rtl/>
        </w:rPr>
        <w:t xml:space="preserve"> با استفاده از روش‌ها</w:t>
      </w:r>
      <w:r>
        <w:rPr>
          <w:rFonts w:hint="cs"/>
          <w:rtl/>
        </w:rPr>
        <w:t>ی</w:t>
      </w:r>
      <w:r>
        <w:rPr>
          <w:rtl/>
        </w:rPr>
        <w:t xml:space="preserve"> تحل</w:t>
      </w:r>
      <w:r>
        <w:rPr>
          <w:rFonts w:hint="cs"/>
          <w:rtl/>
        </w:rPr>
        <w:t>ی</w:t>
      </w:r>
      <w:r>
        <w:rPr>
          <w:rFonts w:hint="eastAsia"/>
          <w:rtl/>
        </w:rPr>
        <w:t>ل</w:t>
      </w:r>
      <w:r>
        <w:rPr>
          <w:rtl/>
        </w:rPr>
        <w:t xml:space="preserve"> مکان</w:t>
      </w:r>
      <w:r>
        <w:rPr>
          <w:rFonts w:hint="cs"/>
          <w:rtl/>
        </w:rPr>
        <w:t>ی</w:t>
      </w:r>
      <w:r>
        <w:rPr>
          <w:rtl/>
        </w:rPr>
        <w:t xml:space="preserve"> در مح</w:t>
      </w:r>
      <w:r>
        <w:rPr>
          <w:rFonts w:hint="cs"/>
          <w:rtl/>
        </w:rPr>
        <w:t>ی</w:t>
      </w:r>
      <w:r>
        <w:rPr>
          <w:rFonts w:hint="eastAsia"/>
          <w:rtl/>
        </w:rPr>
        <w:t>ط</w:t>
      </w:r>
      <w:r>
        <w:rPr>
          <w:rtl/>
        </w:rPr>
        <w:t xml:space="preserve"> </w:t>
      </w:r>
      <w:r>
        <w:t>GIS</w:t>
      </w:r>
      <w:r>
        <w:rPr>
          <w:rtl/>
        </w:rPr>
        <w:t xml:space="preserve"> تول</w:t>
      </w:r>
      <w:r>
        <w:rPr>
          <w:rFonts w:hint="cs"/>
          <w:rtl/>
        </w:rPr>
        <w:t>ی</w:t>
      </w:r>
      <w:r>
        <w:rPr>
          <w:rFonts w:hint="eastAsia"/>
          <w:rtl/>
        </w:rPr>
        <w:t>د</w:t>
      </w:r>
      <w:r>
        <w:rPr>
          <w:rtl/>
        </w:rPr>
        <w:t xml:space="preserve"> و به مق</w:t>
      </w:r>
      <w:r>
        <w:rPr>
          <w:rFonts w:hint="cs"/>
          <w:rtl/>
        </w:rPr>
        <w:t>ی</w:t>
      </w:r>
      <w:r>
        <w:rPr>
          <w:rFonts w:hint="eastAsia"/>
          <w:rtl/>
        </w:rPr>
        <w:t>اس</w:t>
      </w:r>
      <w:r>
        <w:rPr>
          <w:rtl/>
        </w:rPr>
        <w:t xml:space="preserve"> مشترک استاندارد شدند. وزن نسب</w:t>
      </w:r>
      <w:r>
        <w:rPr>
          <w:rFonts w:hint="cs"/>
          <w:rtl/>
        </w:rPr>
        <w:t>ی</w:t>
      </w:r>
      <w:r>
        <w:rPr>
          <w:rtl/>
        </w:rPr>
        <w:t xml:space="preserve"> مع</w:t>
      </w:r>
      <w:r>
        <w:rPr>
          <w:rFonts w:hint="cs"/>
          <w:rtl/>
        </w:rPr>
        <w:t>ی</w:t>
      </w:r>
      <w:r>
        <w:rPr>
          <w:rFonts w:hint="eastAsia"/>
          <w:rtl/>
        </w:rPr>
        <w:t>ارها</w:t>
      </w:r>
      <w:r>
        <w:rPr>
          <w:rtl/>
        </w:rPr>
        <w:t xml:space="preserve"> ن</w:t>
      </w:r>
      <w:r>
        <w:rPr>
          <w:rFonts w:hint="cs"/>
          <w:rtl/>
        </w:rPr>
        <w:t>ی</w:t>
      </w:r>
      <w:r>
        <w:rPr>
          <w:rFonts w:hint="eastAsia"/>
          <w:rtl/>
        </w:rPr>
        <w:t>ز</w:t>
      </w:r>
      <w:r>
        <w:rPr>
          <w:rtl/>
        </w:rPr>
        <w:t xml:space="preserve"> با استفاده از </w:t>
      </w:r>
      <w:r>
        <w:t>AHP</w:t>
      </w:r>
      <w:r>
        <w:rPr>
          <w:rtl/>
        </w:rPr>
        <w:t xml:space="preserve"> و قضاوت خبرگان تع</w:t>
      </w:r>
      <w:r>
        <w:rPr>
          <w:rFonts w:hint="cs"/>
          <w:rtl/>
        </w:rPr>
        <w:t>یی</w:t>
      </w:r>
      <w:r>
        <w:rPr>
          <w:rFonts w:hint="eastAsia"/>
          <w:rtl/>
        </w:rPr>
        <w:t>ن</w:t>
      </w:r>
      <w:r>
        <w:rPr>
          <w:rtl/>
        </w:rPr>
        <w:t xml:space="preserve"> شد. در نها</w:t>
      </w:r>
      <w:r>
        <w:rPr>
          <w:rFonts w:hint="cs"/>
          <w:rtl/>
        </w:rPr>
        <w:t>ی</w:t>
      </w:r>
      <w:r>
        <w:rPr>
          <w:rFonts w:hint="eastAsia"/>
          <w:rtl/>
        </w:rPr>
        <w:t>ت،</w:t>
      </w:r>
      <w:r>
        <w:rPr>
          <w:rtl/>
        </w:rPr>
        <w:t xml:space="preserve"> لا</w:t>
      </w:r>
      <w:r>
        <w:rPr>
          <w:rFonts w:hint="cs"/>
          <w:rtl/>
        </w:rPr>
        <w:t>ی</w:t>
      </w:r>
      <w:r>
        <w:rPr>
          <w:rFonts w:hint="eastAsia"/>
          <w:rtl/>
        </w:rPr>
        <w:t>ه‌ها</w:t>
      </w:r>
      <w:r>
        <w:rPr>
          <w:rFonts w:hint="cs"/>
          <w:rtl/>
        </w:rPr>
        <w:t>ی</w:t>
      </w:r>
      <w:r>
        <w:rPr>
          <w:rtl/>
        </w:rPr>
        <w:t xml:space="preserve"> استانداردشده با استفاده از روش همپوشان</w:t>
      </w:r>
      <w:r>
        <w:rPr>
          <w:rFonts w:hint="cs"/>
          <w:rtl/>
        </w:rPr>
        <w:t>ی</w:t>
      </w:r>
      <w:r>
        <w:rPr>
          <w:rtl/>
        </w:rPr>
        <w:t xml:space="preserve"> وزن</w:t>
      </w:r>
      <w:r>
        <w:rPr>
          <w:rFonts w:hint="cs"/>
          <w:rtl/>
        </w:rPr>
        <w:t>ی</w:t>
      </w:r>
      <w:r>
        <w:rPr>
          <w:rtl/>
        </w:rPr>
        <w:t xml:space="preserve"> (</w:t>
      </w:r>
      <w:r>
        <w:t>Weighted Overlay</w:t>
      </w:r>
      <w:r>
        <w:rPr>
          <w:rtl/>
        </w:rPr>
        <w:t>) تلف</w:t>
      </w:r>
      <w:r>
        <w:rPr>
          <w:rFonts w:hint="cs"/>
          <w:rtl/>
        </w:rPr>
        <w:t>ی</w:t>
      </w:r>
      <w:r>
        <w:rPr>
          <w:rFonts w:hint="eastAsia"/>
          <w:rtl/>
        </w:rPr>
        <w:t>ق</w:t>
      </w:r>
      <w:r>
        <w:rPr>
          <w:rtl/>
        </w:rPr>
        <w:t xml:space="preserve"> و شاخص پ</w:t>
      </w:r>
      <w:r>
        <w:rPr>
          <w:rFonts w:hint="cs"/>
          <w:rtl/>
        </w:rPr>
        <w:t>ی</w:t>
      </w:r>
      <w:r>
        <w:rPr>
          <w:rFonts w:hint="eastAsia"/>
          <w:rtl/>
        </w:rPr>
        <w:t>وسته</w:t>
      </w:r>
      <w:r>
        <w:rPr>
          <w:rtl/>
        </w:rPr>
        <w:t xml:space="preserve"> تناسب مح</w:t>
      </w:r>
      <w:r>
        <w:rPr>
          <w:rFonts w:hint="cs"/>
          <w:rtl/>
        </w:rPr>
        <w:t>ی</w:t>
      </w:r>
      <w:r>
        <w:rPr>
          <w:rFonts w:hint="eastAsia"/>
          <w:rtl/>
        </w:rPr>
        <w:t>ط‌ز</w:t>
      </w:r>
      <w:r>
        <w:rPr>
          <w:rFonts w:hint="cs"/>
          <w:rtl/>
        </w:rPr>
        <w:t>ی</w:t>
      </w:r>
      <w:r>
        <w:rPr>
          <w:rFonts w:hint="eastAsia"/>
          <w:rtl/>
        </w:rPr>
        <w:t>ست</w:t>
      </w:r>
      <w:r>
        <w:rPr>
          <w:rFonts w:hint="cs"/>
          <w:rtl/>
        </w:rPr>
        <w:t>ی</w:t>
      </w:r>
      <w:r>
        <w:rPr>
          <w:rtl/>
        </w:rPr>
        <w:t xml:space="preserve"> ا</w:t>
      </w:r>
      <w:r>
        <w:rPr>
          <w:rFonts w:hint="cs"/>
          <w:rtl/>
        </w:rPr>
        <w:t>ی</w:t>
      </w:r>
      <w:r>
        <w:rPr>
          <w:rFonts w:hint="eastAsia"/>
          <w:rtl/>
        </w:rPr>
        <w:t>جاد</w:t>
      </w:r>
      <w:r>
        <w:rPr>
          <w:rtl/>
        </w:rPr>
        <w:t xml:space="preserve"> شد. شاخص حاصل ن</w:t>
      </w:r>
      <w:r>
        <w:rPr>
          <w:rFonts w:hint="cs"/>
          <w:rtl/>
        </w:rPr>
        <w:t>ی</w:t>
      </w:r>
      <w:r>
        <w:rPr>
          <w:rFonts w:hint="eastAsia"/>
          <w:rtl/>
        </w:rPr>
        <w:t>ز</w:t>
      </w:r>
      <w:r>
        <w:rPr>
          <w:rtl/>
        </w:rPr>
        <w:t xml:space="preserve"> به پنج طبقه نها</w:t>
      </w:r>
      <w:r>
        <w:rPr>
          <w:rFonts w:hint="cs"/>
          <w:rtl/>
        </w:rPr>
        <w:t>یی</w:t>
      </w:r>
      <w:r>
        <w:rPr>
          <w:rtl/>
        </w:rPr>
        <w:t xml:space="preserve"> ش</w:t>
      </w:r>
      <w:r>
        <w:rPr>
          <w:rFonts w:hint="eastAsia"/>
          <w:rtl/>
        </w:rPr>
        <w:t>امل</w:t>
      </w:r>
      <w:r>
        <w:rPr>
          <w:rtl/>
        </w:rPr>
        <w:t xml:space="preserve"> بس</w:t>
      </w:r>
      <w:r>
        <w:rPr>
          <w:rFonts w:hint="cs"/>
          <w:rtl/>
        </w:rPr>
        <w:t>ی</w:t>
      </w:r>
      <w:r>
        <w:rPr>
          <w:rFonts w:hint="eastAsia"/>
          <w:rtl/>
        </w:rPr>
        <w:t>ار</w:t>
      </w:r>
      <w:r>
        <w:rPr>
          <w:rtl/>
        </w:rPr>
        <w:t xml:space="preserve"> نامناسب، نامناسب، متوسط، مناسب و بس</w:t>
      </w:r>
      <w:r>
        <w:rPr>
          <w:rFonts w:hint="cs"/>
          <w:rtl/>
        </w:rPr>
        <w:t>ی</w:t>
      </w:r>
      <w:r>
        <w:rPr>
          <w:rFonts w:hint="eastAsia"/>
          <w:rtl/>
        </w:rPr>
        <w:t>ار</w:t>
      </w:r>
      <w:r>
        <w:rPr>
          <w:rtl/>
        </w:rPr>
        <w:t xml:space="preserve"> مناسب طبقه‌بند</w:t>
      </w:r>
      <w:r>
        <w:rPr>
          <w:rFonts w:hint="cs"/>
          <w:rtl/>
        </w:rPr>
        <w:t>ی</w:t>
      </w:r>
      <w:r>
        <w:rPr>
          <w:rtl/>
        </w:rPr>
        <w:t xml:space="preserve"> گرد</w:t>
      </w:r>
      <w:r>
        <w:rPr>
          <w:rFonts w:hint="cs"/>
          <w:rtl/>
        </w:rPr>
        <w:t>ی</w:t>
      </w:r>
      <w:r>
        <w:rPr>
          <w:rFonts w:hint="eastAsia"/>
          <w:rtl/>
        </w:rPr>
        <w:t>د</w:t>
      </w:r>
      <w:r>
        <w:rPr>
          <w:rtl/>
        </w:rPr>
        <w:t xml:space="preserve">. </w:t>
      </w:r>
    </w:p>
    <w:p w14:paraId="0E57F759" w14:textId="77777777" w:rsidR="00462C54" w:rsidRPr="00462C54" w:rsidRDefault="008A675A" w:rsidP="008A675A">
      <w:pPr>
        <w:spacing w:after="40"/>
        <w:rPr>
          <w:rtl/>
          <w:lang w:bidi="fa-IR"/>
        </w:rPr>
      </w:pPr>
      <w:r>
        <w:rPr>
          <w:rFonts w:hint="eastAsia"/>
          <w:rtl/>
        </w:rPr>
        <w:t>ا</w:t>
      </w:r>
      <w:r>
        <w:rPr>
          <w:rFonts w:hint="cs"/>
          <w:rtl/>
        </w:rPr>
        <w:t>ی</w:t>
      </w:r>
      <w:r>
        <w:rPr>
          <w:rFonts w:hint="eastAsia"/>
          <w:rtl/>
        </w:rPr>
        <w:t>ن</w:t>
      </w:r>
      <w:r>
        <w:rPr>
          <w:rtl/>
        </w:rPr>
        <w:t xml:space="preserve"> ساختار سبب م</w:t>
      </w:r>
      <w:r>
        <w:rPr>
          <w:rFonts w:hint="cs"/>
          <w:rtl/>
        </w:rPr>
        <w:t>ی‌</w:t>
      </w:r>
      <w:r>
        <w:rPr>
          <w:rFonts w:hint="eastAsia"/>
          <w:rtl/>
        </w:rPr>
        <w:t>شود</w:t>
      </w:r>
      <w:r>
        <w:rPr>
          <w:rtl/>
        </w:rPr>
        <w:t xml:space="preserve"> که تناسب مح</w:t>
      </w:r>
      <w:r>
        <w:rPr>
          <w:rFonts w:hint="cs"/>
          <w:rtl/>
        </w:rPr>
        <w:t>ی</w:t>
      </w:r>
      <w:r>
        <w:rPr>
          <w:rFonts w:hint="eastAsia"/>
          <w:rtl/>
        </w:rPr>
        <w:t>ط‌ز</w:t>
      </w:r>
      <w:r>
        <w:rPr>
          <w:rFonts w:hint="cs"/>
          <w:rtl/>
        </w:rPr>
        <w:t>ی</w:t>
      </w:r>
      <w:r>
        <w:rPr>
          <w:rFonts w:hint="eastAsia"/>
          <w:rtl/>
        </w:rPr>
        <w:t>ست</w:t>
      </w:r>
      <w:r>
        <w:rPr>
          <w:rFonts w:hint="cs"/>
          <w:rtl/>
        </w:rPr>
        <w:t>ی</w:t>
      </w:r>
      <w:r>
        <w:rPr>
          <w:rtl/>
        </w:rPr>
        <w:t xml:space="preserve"> هر سلول مکان</w:t>
      </w:r>
      <w:r>
        <w:rPr>
          <w:rFonts w:hint="cs"/>
          <w:rtl/>
        </w:rPr>
        <w:t>ی</w:t>
      </w:r>
      <w:r>
        <w:rPr>
          <w:rtl/>
        </w:rPr>
        <w:t xml:space="preserve"> نه بر اساس </w:t>
      </w:r>
      <w:r>
        <w:rPr>
          <w:rFonts w:hint="cs"/>
          <w:rtl/>
        </w:rPr>
        <w:t>ی</w:t>
      </w:r>
      <w:r>
        <w:rPr>
          <w:rFonts w:hint="eastAsia"/>
          <w:rtl/>
        </w:rPr>
        <w:t>ک</w:t>
      </w:r>
      <w:r>
        <w:rPr>
          <w:rtl/>
        </w:rPr>
        <w:t xml:space="preserve"> عامل منفرد، بلکه بر اساس اثر همزمان مجموعه‌ا</w:t>
      </w:r>
      <w:r>
        <w:rPr>
          <w:rFonts w:hint="cs"/>
          <w:rtl/>
        </w:rPr>
        <w:t>ی</w:t>
      </w:r>
      <w:r>
        <w:rPr>
          <w:rtl/>
        </w:rPr>
        <w:t xml:space="preserve"> از مع</w:t>
      </w:r>
      <w:r>
        <w:rPr>
          <w:rFonts w:hint="cs"/>
          <w:rtl/>
        </w:rPr>
        <w:t>ی</w:t>
      </w:r>
      <w:r>
        <w:rPr>
          <w:rFonts w:hint="eastAsia"/>
          <w:rtl/>
        </w:rPr>
        <w:t>ارها</w:t>
      </w:r>
      <w:r>
        <w:rPr>
          <w:rFonts w:hint="cs"/>
          <w:rtl/>
        </w:rPr>
        <w:t>ی</w:t>
      </w:r>
      <w:r>
        <w:rPr>
          <w:rtl/>
        </w:rPr>
        <w:t xml:space="preserve"> طب</w:t>
      </w:r>
      <w:r>
        <w:rPr>
          <w:rFonts w:hint="cs"/>
          <w:rtl/>
        </w:rPr>
        <w:t>ی</w:t>
      </w:r>
      <w:r>
        <w:rPr>
          <w:rFonts w:hint="eastAsia"/>
          <w:rtl/>
        </w:rPr>
        <w:t>ع</w:t>
      </w:r>
      <w:r>
        <w:rPr>
          <w:rFonts w:hint="cs"/>
          <w:rtl/>
        </w:rPr>
        <w:t>ی</w:t>
      </w:r>
      <w:r>
        <w:rPr>
          <w:rtl/>
        </w:rPr>
        <w:t xml:space="preserve"> و انسان</w:t>
      </w:r>
      <w:r>
        <w:rPr>
          <w:rFonts w:hint="cs"/>
          <w:rtl/>
        </w:rPr>
        <w:t>ی</w:t>
      </w:r>
      <w:r>
        <w:rPr>
          <w:rtl/>
        </w:rPr>
        <w:t xml:space="preserve"> تع</w:t>
      </w:r>
      <w:r>
        <w:rPr>
          <w:rFonts w:hint="cs"/>
          <w:rtl/>
        </w:rPr>
        <w:t>یی</w:t>
      </w:r>
      <w:r>
        <w:rPr>
          <w:rFonts w:hint="eastAsia"/>
          <w:rtl/>
        </w:rPr>
        <w:t>ن</w:t>
      </w:r>
      <w:r>
        <w:rPr>
          <w:rtl/>
        </w:rPr>
        <w:t xml:space="preserve"> شود.</w:t>
      </w:r>
    </w:p>
    <w:p w14:paraId="5FB8C196" w14:textId="77777777" w:rsidR="00462C54" w:rsidRPr="00FB51C2" w:rsidRDefault="00462C54" w:rsidP="00FB51C2">
      <w:pPr>
        <w:pStyle w:val="Heading2"/>
        <w:rPr>
          <w:b w:val="0"/>
          <w:bCs w:val="0"/>
        </w:rPr>
      </w:pPr>
      <w:r w:rsidRPr="00FB51C2">
        <w:rPr>
          <w:b w:val="0"/>
          <w:bCs w:val="0"/>
          <w:rtl/>
        </w:rPr>
        <w:t>داده‌ها و آماده‌سازی مکانی</w:t>
      </w:r>
    </w:p>
    <w:p w14:paraId="4DE77BEF" w14:textId="1F409431" w:rsidR="00BE7135" w:rsidRDefault="00BE7135" w:rsidP="00853216">
      <w:pPr>
        <w:spacing w:after="60"/>
        <w:rPr>
          <w:rFonts w:hint="cs"/>
          <w:rtl/>
          <w:lang w:bidi="fa-IR"/>
        </w:rPr>
      </w:pPr>
      <w:r>
        <w:rPr>
          <w:rtl/>
        </w:rPr>
        <w:t>داده‌های مورد استفاده شامل لایه‌های مرتبط با منابع آب، آبراهه‌ها، شبکه راه‌ها، سکونتگاه‌های انسانی، پوشش و کاربری اراضی، مناطق حفاظت‌شده و مدل رقومی ارتفاع</w:t>
      </w:r>
      <w:r w:rsidR="0083336A">
        <w:rPr>
          <w:rFonts w:hint="cs"/>
          <w:rtl/>
        </w:rPr>
        <w:t xml:space="preserve"> </w:t>
      </w:r>
      <w:r>
        <w:rPr>
          <w:rtl/>
        </w:rPr>
        <w:t>(</w:t>
      </w:r>
      <w:r>
        <w:t>DEM</w:t>
      </w:r>
      <w:r>
        <w:rPr>
          <w:rtl/>
        </w:rPr>
        <w:t xml:space="preserve">) بود. تمامی داده‌ها در محیط </w:t>
      </w:r>
      <w:r>
        <w:t>ArcGIS Pro</w:t>
      </w:r>
      <w:r>
        <w:rPr>
          <w:rtl/>
        </w:rPr>
        <w:t xml:space="preserve"> آماده‌سازی، کنترل و برای تحلیل‌های بعدی به یک سیستم مختصات مکانی مشترک تبدیل شدند.  داده‌های مکانی اصلی از اداره کل حفاظت محیط زیست استان آذربایجان شرقی دریافت شد. سال تولید یا انتشار اولیه برخی از فایل‌های </w:t>
      </w:r>
      <w:r>
        <w:t>Shapefile</w:t>
      </w:r>
      <w:r>
        <w:rPr>
          <w:rtl/>
        </w:rPr>
        <w:t xml:space="preserve"> در </w:t>
      </w:r>
      <w:r>
        <w:t>Metadata</w:t>
      </w:r>
      <w:r>
        <w:rPr>
          <w:rtl/>
        </w:rPr>
        <w:t xml:space="preserve"> همراه داده‌ها ثبت نشده بود؛ بنابراین از انتساب سال بدون مستندات خودداری شد و نسخه دریافتی به‌عنوان مبنای تحلیل مورد استفاده قرار گرف</w:t>
      </w:r>
      <w:r w:rsidR="00853216">
        <w:rPr>
          <w:rFonts w:hint="cs"/>
          <w:rtl/>
        </w:rPr>
        <w:t>ت</w:t>
      </w:r>
      <w:r>
        <w:t>(East Azerbaijan Provincial Department of Environment, n.d.)</w:t>
      </w:r>
      <w:r w:rsidR="00853216">
        <w:t>.</w:t>
      </w:r>
    </w:p>
    <w:p w14:paraId="448A594A" w14:textId="77777777" w:rsidR="00BE7135" w:rsidRDefault="00BE7135" w:rsidP="00BE7135">
      <w:pPr>
        <w:spacing w:after="60"/>
        <w:rPr>
          <w:rtl/>
        </w:rPr>
      </w:pPr>
      <w:r>
        <w:rPr>
          <w:rtl/>
        </w:rPr>
        <w:t>برای ایجاد یک چارچوب مکانی یکپارچه، سیستم مختصات داده‌ها به</w:t>
      </w:r>
      <w:r>
        <w:t xml:space="preserve"> WGS 1984 UTM Zone 38N (EPSG:32638)</w:t>
      </w:r>
      <w:r>
        <w:rPr>
          <w:rtl/>
        </w:rPr>
        <w:t xml:space="preserve"> تبدیل شد. همچنین، به‌منظور ایجاد قابلیت مقایسه و تلفیق لایه‌های رستری، اندازه سلول تمامی لایه‌های رستری 30 × 30 متر در نظر گرفته شد.  اندازه سلول 30 × 30 متر بیانگر تفکیک مکانی تحلیل نهایی است و لزوماً معادل تفکیک مکانی اولیه همه داده‌های ورودی نیست.</w:t>
      </w:r>
    </w:p>
    <w:p w14:paraId="0A904114" w14:textId="77777777" w:rsidR="00462C54" w:rsidRPr="00462C54" w:rsidRDefault="00BE7135" w:rsidP="00BE7135">
      <w:pPr>
        <w:spacing w:after="40"/>
      </w:pPr>
      <w:r>
        <w:rPr>
          <w:rFonts w:hint="eastAsia"/>
          <w:rtl/>
        </w:rPr>
        <w:t>ا</w:t>
      </w:r>
      <w:r>
        <w:rPr>
          <w:rFonts w:hint="cs"/>
          <w:rtl/>
        </w:rPr>
        <w:t>ی</w:t>
      </w:r>
      <w:r>
        <w:rPr>
          <w:rFonts w:hint="eastAsia"/>
          <w:rtl/>
        </w:rPr>
        <w:t>ن</w:t>
      </w:r>
      <w:r>
        <w:rPr>
          <w:rtl/>
        </w:rPr>
        <w:t xml:space="preserve"> </w:t>
      </w:r>
      <w:r>
        <w:rPr>
          <w:rFonts w:hint="cs"/>
          <w:rtl/>
        </w:rPr>
        <w:t>ی</w:t>
      </w:r>
      <w:r>
        <w:rPr>
          <w:rFonts w:hint="eastAsia"/>
          <w:rtl/>
        </w:rPr>
        <w:t>کسان‌ساز</w:t>
      </w:r>
      <w:r>
        <w:rPr>
          <w:rFonts w:hint="cs"/>
          <w:rtl/>
        </w:rPr>
        <w:t>ی</w:t>
      </w:r>
      <w:r>
        <w:rPr>
          <w:rtl/>
        </w:rPr>
        <w:t xml:space="preserve"> مکان</w:t>
      </w:r>
      <w:r>
        <w:rPr>
          <w:rFonts w:hint="cs"/>
          <w:rtl/>
        </w:rPr>
        <w:t>ی</w:t>
      </w:r>
      <w:r>
        <w:rPr>
          <w:rtl/>
        </w:rPr>
        <w:t xml:space="preserve"> اهم</w:t>
      </w:r>
      <w:r>
        <w:rPr>
          <w:rFonts w:hint="cs"/>
          <w:rtl/>
        </w:rPr>
        <w:t>ی</w:t>
      </w:r>
      <w:r>
        <w:rPr>
          <w:rFonts w:hint="eastAsia"/>
          <w:rtl/>
        </w:rPr>
        <w:t>ت</w:t>
      </w:r>
      <w:r>
        <w:rPr>
          <w:rtl/>
        </w:rPr>
        <w:t xml:space="preserve"> و</w:t>
      </w:r>
      <w:r>
        <w:rPr>
          <w:rFonts w:hint="cs"/>
          <w:rtl/>
        </w:rPr>
        <w:t>ی</w:t>
      </w:r>
      <w:r>
        <w:rPr>
          <w:rFonts w:hint="eastAsia"/>
          <w:rtl/>
        </w:rPr>
        <w:t>ژه‌ا</w:t>
      </w:r>
      <w:r>
        <w:rPr>
          <w:rFonts w:hint="cs"/>
          <w:rtl/>
        </w:rPr>
        <w:t>ی</w:t>
      </w:r>
      <w:r>
        <w:rPr>
          <w:rtl/>
        </w:rPr>
        <w:t xml:space="preserve"> داشت؛ ز</w:t>
      </w:r>
      <w:r>
        <w:rPr>
          <w:rFonts w:hint="cs"/>
          <w:rtl/>
        </w:rPr>
        <w:t>ی</w:t>
      </w:r>
      <w:r>
        <w:rPr>
          <w:rFonts w:hint="eastAsia"/>
          <w:rtl/>
        </w:rPr>
        <w:t>را</w:t>
      </w:r>
      <w:r>
        <w:rPr>
          <w:rtl/>
        </w:rPr>
        <w:t xml:space="preserve"> تلف</w:t>
      </w:r>
      <w:r>
        <w:rPr>
          <w:rFonts w:hint="cs"/>
          <w:rtl/>
        </w:rPr>
        <w:t>ی</w:t>
      </w:r>
      <w:r>
        <w:rPr>
          <w:rFonts w:hint="eastAsia"/>
          <w:rtl/>
        </w:rPr>
        <w:t>ق</w:t>
      </w:r>
      <w:r>
        <w:rPr>
          <w:rtl/>
        </w:rPr>
        <w:t xml:space="preserve"> لا</w:t>
      </w:r>
      <w:r>
        <w:rPr>
          <w:rFonts w:hint="cs"/>
          <w:rtl/>
        </w:rPr>
        <w:t>ی</w:t>
      </w:r>
      <w:r>
        <w:rPr>
          <w:rFonts w:hint="eastAsia"/>
          <w:rtl/>
        </w:rPr>
        <w:t>ه‌ها</w:t>
      </w:r>
      <w:r>
        <w:rPr>
          <w:rFonts w:hint="cs"/>
          <w:rtl/>
        </w:rPr>
        <w:t>یی</w:t>
      </w:r>
      <w:r>
        <w:rPr>
          <w:rtl/>
        </w:rPr>
        <w:t xml:space="preserve"> با س</w:t>
      </w:r>
      <w:r>
        <w:rPr>
          <w:rFonts w:hint="cs"/>
          <w:rtl/>
        </w:rPr>
        <w:t>ی</w:t>
      </w:r>
      <w:r>
        <w:rPr>
          <w:rFonts w:hint="eastAsia"/>
          <w:rtl/>
        </w:rPr>
        <w:t>ستم</w:t>
      </w:r>
      <w:r>
        <w:rPr>
          <w:rtl/>
        </w:rPr>
        <w:t xml:space="preserve"> مختصات، اندازه سلول </w:t>
      </w:r>
      <w:r>
        <w:rPr>
          <w:rFonts w:hint="cs"/>
          <w:rtl/>
        </w:rPr>
        <w:t>ی</w:t>
      </w:r>
      <w:r>
        <w:rPr>
          <w:rFonts w:hint="eastAsia"/>
          <w:rtl/>
        </w:rPr>
        <w:t>ا</w:t>
      </w:r>
      <w:r>
        <w:rPr>
          <w:rtl/>
        </w:rPr>
        <w:t xml:space="preserve"> محدوده مکان</w:t>
      </w:r>
      <w:r>
        <w:rPr>
          <w:rFonts w:hint="cs"/>
          <w:rtl/>
        </w:rPr>
        <w:t>ی</w:t>
      </w:r>
      <w:r>
        <w:rPr>
          <w:rtl/>
        </w:rPr>
        <w:t xml:space="preserve"> متفاوت م</w:t>
      </w:r>
      <w:r>
        <w:rPr>
          <w:rFonts w:hint="cs"/>
          <w:rtl/>
        </w:rPr>
        <w:t>ی‌</w:t>
      </w:r>
      <w:r>
        <w:rPr>
          <w:rFonts w:hint="eastAsia"/>
          <w:rtl/>
        </w:rPr>
        <w:t>تواند</w:t>
      </w:r>
      <w:r>
        <w:rPr>
          <w:rtl/>
        </w:rPr>
        <w:t xml:space="preserve"> موجب خطا در محاسبه شاخص نها</w:t>
      </w:r>
      <w:r>
        <w:rPr>
          <w:rFonts w:hint="cs"/>
          <w:rtl/>
        </w:rPr>
        <w:t>یی</w:t>
      </w:r>
      <w:r>
        <w:rPr>
          <w:rtl/>
        </w:rPr>
        <w:t xml:space="preserve"> شود.</w:t>
      </w:r>
    </w:p>
    <w:p w14:paraId="5B1D63E5" w14:textId="77777777" w:rsidR="00462C54" w:rsidRPr="00FB51C2" w:rsidRDefault="00462C54" w:rsidP="00FB51C2">
      <w:pPr>
        <w:pStyle w:val="Heading2"/>
        <w:rPr>
          <w:b w:val="0"/>
          <w:bCs w:val="0"/>
        </w:rPr>
      </w:pPr>
      <w:r w:rsidRPr="00FB51C2">
        <w:rPr>
          <w:b w:val="0"/>
          <w:bCs w:val="0"/>
          <w:rtl/>
        </w:rPr>
        <w:t>انتخاب معیارهای محیط‌زیستی</w:t>
      </w:r>
    </w:p>
    <w:p w14:paraId="118E3AE9" w14:textId="77777777" w:rsidR="00462C54" w:rsidRPr="00462C54" w:rsidRDefault="00462C54" w:rsidP="00BE7135">
      <w:pPr>
        <w:spacing w:after="40"/>
        <w:rPr>
          <w:rtl/>
          <w:lang w:bidi="fa-IR"/>
        </w:rPr>
      </w:pPr>
      <w:r w:rsidRPr="00462C54">
        <w:rPr>
          <w:rtl/>
        </w:rPr>
        <w:t>با توجه به اصول</w:t>
      </w:r>
      <w:r w:rsidRPr="00462C54">
        <w:t xml:space="preserve"> SEA</w:t>
      </w:r>
      <w:r w:rsidRPr="00462C54">
        <w:rPr>
          <w:rtl/>
        </w:rPr>
        <w:t xml:space="preserve">، شرایط محیط‌زیستی منطقه، مطالعات پیشین و نظر خبرگان، هفت معیار اصلی </w:t>
      </w:r>
      <w:r w:rsidR="00BE7135">
        <w:rPr>
          <w:rFonts w:hint="cs"/>
          <w:rtl/>
        </w:rPr>
        <w:t xml:space="preserve">شامل؛ </w:t>
      </w:r>
      <w:r w:rsidR="00BE7135" w:rsidRPr="00462C54">
        <w:rPr>
          <w:rtl/>
        </w:rPr>
        <w:t>فاصله از منابع آب</w:t>
      </w:r>
      <w:r w:rsidR="00BE7135">
        <w:rPr>
          <w:rFonts w:hint="cs"/>
          <w:rtl/>
        </w:rPr>
        <w:t xml:space="preserve">، </w:t>
      </w:r>
      <w:r w:rsidR="00BE7135" w:rsidRPr="00462C54">
        <w:rPr>
          <w:rtl/>
        </w:rPr>
        <w:t>فاصله از آبراهه‌ها</w:t>
      </w:r>
      <w:r w:rsidR="00BE7135">
        <w:rPr>
          <w:rFonts w:hint="cs"/>
          <w:rtl/>
        </w:rPr>
        <w:t xml:space="preserve">، </w:t>
      </w:r>
      <w:r w:rsidR="00BE7135" w:rsidRPr="00462C54">
        <w:rPr>
          <w:rtl/>
        </w:rPr>
        <w:t>فاصله از سکونتگاه‌های انسانی</w:t>
      </w:r>
      <w:r w:rsidR="00BE7135">
        <w:rPr>
          <w:rFonts w:hint="cs"/>
          <w:rtl/>
        </w:rPr>
        <w:t xml:space="preserve">، </w:t>
      </w:r>
      <w:r w:rsidR="00BE7135" w:rsidRPr="00462C54">
        <w:rPr>
          <w:rtl/>
        </w:rPr>
        <w:t>فاصله از شبکه راه‌های ارتباطی</w:t>
      </w:r>
      <w:r w:rsidR="00BE7135">
        <w:rPr>
          <w:rFonts w:hint="cs"/>
          <w:rtl/>
        </w:rPr>
        <w:t xml:space="preserve">، </w:t>
      </w:r>
      <w:r w:rsidR="00BE7135" w:rsidRPr="00462C54">
        <w:rPr>
          <w:rtl/>
        </w:rPr>
        <w:t>شیب</w:t>
      </w:r>
      <w:r w:rsidR="00BE7135">
        <w:rPr>
          <w:rFonts w:hint="cs"/>
          <w:rtl/>
        </w:rPr>
        <w:t xml:space="preserve">، </w:t>
      </w:r>
      <w:r w:rsidR="00BE7135" w:rsidRPr="00462C54">
        <w:rPr>
          <w:rtl/>
        </w:rPr>
        <w:t>پوشش و کاربری اراضی</w:t>
      </w:r>
      <w:r w:rsidR="00BE7135">
        <w:rPr>
          <w:rFonts w:hint="cs"/>
          <w:rtl/>
        </w:rPr>
        <w:t xml:space="preserve"> و </w:t>
      </w:r>
      <w:r w:rsidR="00BE7135" w:rsidRPr="00462C54">
        <w:rPr>
          <w:rtl/>
        </w:rPr>
        <w:t>فاصله از مناطق حفاظت‌شده</w:t>
      </w:r>
      <w:r w:rsidR="00BE7135">
        <w:t xml:space="preserve"> </w:t>
      </w:r>
      <w:r w:rsidRPr="00462C54">
        <w:rPr>
          <w:rtl/>
        </w:rPr>
        <w:t>برای ارزیابی تناسب محیط‌زیستی توسعه معدن انتخاب شد</w:t>
      </w:r>
      <w:r w:rsidR="00BE7135">
        <w:rPr>
          <w:rFonts w:hint="cs"/>
          <w:rtl/>
          <w:lang w:bidi="fa-IR"/>
        </w:rPr>
        <w:t>ند.</w:t>
      </w:r>
    </w:p>
    <w:p w14:paraId="1876B3A5" w14:textId="77777777" w:rsidR="00462C54" w:rsidRPr="00462C54" w:rsidRDefault="00462C54" w:rsidP="002112C3">
      <w:pPr>
        <w:spacing w:after="40"/>
      </w:pPr>
      <w:r w:rsidRPr="00462C54">
        <w:rPr>
          <w:rtl/>
        </w:rPr>
        <w:t xml:space="preserve">انتخاب این معیارها با هدف پوشش دادن مهم‌ترین مؤلفه‌های محیط‌زیستی و انسانی مؤثر بر تصمیم‌گیری فضایی درباره توسعه معدن انجام شد. به‌ویژه منابع آب و آبراهه‌ها به دلیل حساسیت بالا در برابر تغییرات کمی و کیفی ناشی </w:t>
      </w:r>
      <w:r w:rsidRPr="00462C54">
        <w:rPr>
          <w:rtl/>
        </w:rPr>
        <w:lastRenderedPageBreak/>
        <w:t>از فعالیت‌های معدنی، پوشش و کاربری اراضی به دلیل اهمیت اکولوژیکی، و سکونتگاه‌ها و مناطق حفاظت‌شده به دلیل حساسیت انسانی و حفاظتی، در مدل لحاظ شدند</w:t>
      </w:r>
      <w:r w:rsidRPr="00462C54">
        <w:t xml:space="preserve">. </w:t>
      </w:r>
    </w:p>
    <w:tbl>
      <w:tblPr>
        <w:tblStyle w:val="TableGrid"/>
        <w:bidiVisual/>
        <w:tblW w:w="5000" w:type="pct"/>
        <w:tblLook w:val="04A0" w:firstRow="1" w:lastRow="0" w:firstColumn="1" w:lastColumn="0" w:noHBand="0" w:noVBand="1"/>
      </w:tblPr>
      <w:tblGrid>
        <w:gridCol w:w="2118"/>
        <w:gridCol w:w="1191"/>
        <w:gridCol w:w="1802"/>
        <w:gridCol w:w="1642"/>
        <w:gridCol w:w="2309"/>
      </w:tblGrid>
      <w:tr w:rsidR="00BE7135" w:rsidRPr="000512A4" w14:paraId="6C1A2913" w14:textId="77777777" w:rsidTr="00CE10BB">
        <w:tc>
          <w:tcPr>
            <w:tcW w:w="5000" w:type="pct"/>
            <w:gridSpan w:val="5"/>
          </w:tcPr>
          <w:p w14:paraId="1CD680DC" w14:textId="77777777" w:rsidR="00BE7135" w:rsidRPr="000512A4" w:rsidRDefault="00BE7135" w:rsidP="00CE10BB">
            <w:pPr>
              <w:rPr>
                <w:rtl/>
                <w:lang w:bidi="fa-IR"/>
              </w:rPr>
            </w:pPr>
            <w:r w:rsidRPr="0036519E">
              <w:rPr>
                <w:rStyle w:val="Strong"/>
                <w:sz w:val="19"/>
                <w:szCs w:val="22"/>
                <w:rtl/>
              </w:rPr>
              <w:t>جدول 1</w:t>
            </w:r>
            <w:r w:rsidR="00FD6CD7">
              <w:rPr>
                <w:rStyle w:val="Strong"/>
                <w:rFonts w:hint="cs"/>
                <w:sz w:val="19"/>
                <w:szCs w:val="22"/>
                <w:rtl/>
              </w:rPr>
              <w:t>-</w:t>
            </w:r>
            <w:r w:rsidRPr="0036519E">
              <w:rPr>
                <w:rStyle w:val="Strong"/>
                <w:sz w:val="19"/>
                <w:szCs w:val="22"/>
                <w:rtl/>
              </w:rPr>
              <w:t xml:space="preserve"> معیارهای محیط‌زیستی مورد استفاده، منبع داده، روش تولید و استانداردسازی لایه‌ها در مدل</w:t>
            </w:r>
            <w:r w:rsidRPr="0036519E">
              <w:rPr>
                <w:rStyle w:val="Strong"/>
                <w:sz w:val="19"/>
                <w:szCs w:val="22"/>
              </w:rPr>
              <w:t xml:space="preserve"> </w:t>
            </w:r>
            <w:r w:rsidRPr="009528ED">
              <w:rPr>
                <w:rStyle w:val="Strong"/>
                <w:b w:val="0"/>
                <w:bCs w:val="0"/>
                <w:sz w:val="19"/>
                <w:szCs w:val="20"/>
              </w:rPr>
              <w:t>GIS–AHP</w:t>
            </w:r>
            <w:r w:rsidRPr="0036519E">
              <w:rPr>
                <w:sz w:val="19"/>
                <w:szCs w:val="24"/>
                <w:rtl/>
              </w:rPr>
              <w:t xml:space="preserve"> </w:t>
            </w:r>
          </w:p>
        </w:tc>
      </w:tr>
      <w:tr w:rsidR="00BE7135" w:rsidRPr="000512A4" w14:paraId="0CFE1B6D" w14:textId="77777777" w:rsidTr="00CE10BB">
        <w:tc>
          <w:tcPr>
            <w:tcW w:w="5000" w:type="pct"/>
            <w:gridSpan w:val="5"/>
          </w:tcPr>
          <w:p w14:paraId="42A69DBC" w14:textId="77777777" w:rsidR="00BE7135" w:rsidRPr="000512A4" w:rsidRDefault="00BE7135" w:rsidP="00CE10BB">
            <w:pPr>
              <w:bidi w:val="0"/>
              <w:rPr>
                <w:rStyle w:val="Strong"/>
                <w:rFonts w:hint="cs"/>
                <w:sz w:val="20"/>
                <w:szCs w:val="20"/>
                <w:rtl/>
                <w:lang w:bidi="fa-IR"/>
              </w:rPr>
            </w:pPr>
            <w:r w:rsidRPr="0036519E">
              <w:rPr>
                <w:sz w:val="19"/>
              </w:rPr>
              <w:t>Table 1</w:t>
            </w:r>
            <w:r w:rsidR="00FD6CD7">
              <w:rPr>
                <w:rFonts w:hint="cs"/>
                <w:sz w:val="19"/>
                <w:rtl/>
              </w:rPr>
              <w:t>-</w:t>
            </w:r>
            <w:r w:rsidRPr="0036519E">
              <w:rPr>
                <w:sz w:val="19"/>
              </w:rPr>
              <w:t xml:space="preserve"> Environmental criteria used, data sources, layer generation methods, and standardization in the GIS-AHP model</w:t>
            </w:r>
            <w:r w:rsidRPr="0036519E">
              <w:rPr>
                <w:rStyle w:val="Strong"/>
                <w:sz w:val="19"/>
                <w:szCs w:val="20"/>
                <w:rtl/>
              </w:rPr>
              <w:t>.</w:t>
            </w:r>
          </w:p>
        </w:tc>
      </w:tr>
      <w:tr w:rsidR="00BE7135" w:rsidRPr="00244C39" w14:paraId="77690C24" w14:textId="77777777" w:rsidTr="00CE10BB">
        <w:trPr>
          <w:trHeight w:val="418"/>
        </w:trPr>
        <w:tc>
          <w:tcPr>
            <w:tcW w:w="1169" w:type="pct"/>
          </w:tcPr>
          <w:p w14:paraId="0B6EEE2E" w14:textId="77777777" w:rsidR="00BE7135" w:rsidRPr="00244C39" w:rsidRDefault="00BE7135" w:rsidP="00CE10BB">
            <w:pPr>
              <w:ind w:firstLine="0"/>
              <w:rPr>
                <w:sz w:val="20"/>
                <w:szCs w:val="22"/>
              </w:rPr>
            </w:pPr>
            <w:r w:rsidRPr="00244C39">
              <w:rPr>
                <w:sz w:val="19"/>
                <w:szCs w:val="22"/>
                <w:rtl/>
              </w:rPr>
              <w:t>معیار محیط‌زیستی</w:t>
            </w:r>
          </w:p>
        </w:tc>
        <w:tc>
          <w:tcPr>
            <w:tcW w:w="657" w:type="pct"/>
          </w:tcPr>
          <w:p w14:paraId="39B41C6C" w14:textId="77777777" w:rsidR="00BE7135" w:rsidRPr="00244C39" w:rsidRDefault="00BE7135" w:rsidP="00CE10BB">
            <w:pPr>
              <w:ind w:firstLine="0"/>
              <w:rPr>
                <w:sz w:val="20"/>
                <w:szCs w:val="22"/>
              </w:rPr>
            </w:pPr>
            <w:r w:rsidRPr="00244C39">
              <w:rPr>
                <w:sz w:val="19"/>
                <w:szCs w:val="22"/>
                <w:rtl/>
              </w:rPr>
              <w:t>نوع داده اولیه</w:t>
            </w:r>
          </w:p>
        </w:tc>
        <w:tc>
          <w:tcPr>
            <w:tcW w:w="994" w:type="pct"/>
          </w:tcPr>
          <w:p w14:paraId="4DB34089" w14:textId="77777777" w:rsidR="00BE7135" w:rsidRPr="00244C39" w:rsidRDefault="00BE7135" w:rsidP="00CE10BB">
            <w:pPr>
              <w:ind w:firstLine="0"/>
              <w:rPr>
                <w:sz w:val="20"/>
                <w:szCs w:val="22"/>
              </w:rPr>
            </w:pPr>
            <w:r w:rsidRPr="00244C39">
              <w:rPr>
                <w:sz w:val="19"/>
                <w:szCs w:val="22"/>
                <w:rtl/>
              </w:rPr>
              <w:t>روش تولید معیار</w:t>
            </w:r>
          </w:p>
        </w:tc>
        <w:tc>
          <w:tcPr>
            <w:tcW w:w="906" w:type="pct"/>
          </w:tcPr>
          <w:p w14:paraId="70BFB7C9" w14:textId="77777777" w:rsidR="00BE7135" w:rsidRPr="00244C39" w:rsidRDefault="00BE7135" w:rsidP="00CE10BB">
            <w:pPr>
              <w:ind w:firstLine="0"/>
              <w:rPr>
                <w:sz w:val="20"/>
                <w:szCs w:val="22"/>
              </w:rPr>
            </w:pPr>
            <w:r w:rsidRPr="00244C39">
              <w:rPr>
                <w:sz w:val="19"/>
                <w:szCs w:val="22"/>
                <w:rtl/>
              </w:rPr>
              <w:t>روش</w:t>
            </w:r>
            <w:r>
              <w:rPr>
                <w:rFonts w:hint="cs"/>
                <w:sz w:val="19"/>
                <w:szCs w:val="22"/>
                <w:rtl/>
              </w:rPr>
              <w:t xml:space="preserve"> </w:t>
            </w:r>
            <w:r w:rsidRPr="00244C39">
              <w:rPr>
                <w:sz w:val="19"/>
                <w:szCs w:val="22"/>
                <w:rtl/>
              </w:rPr>
              <w:t>استانداردسازی</w:t>
            </w:r>
          </w:p>
        </w:tc>
        <w:tc>
          <w:tcPr>
            <w:tcW w:w="1274" w:type="pct"/>
          </w:tcPr>
          <w:p w14:paraId="05FA8911" w14:textId="77777777" w:rsidR="00BE7135" w:rsidRPr="00244C39" w:rsidRDefault="00BE7135" w:rsidP="00CE10BB">
            <w:pPr>
              <w:rPr>
                <w:sz w:val="20"/>
                <w:szCs w:val="22"/>
              </w:rPr>
            </w:pPr>
            <w:r w:rsidRPr="00244C39">
              <w:rPr>
                <w:sz w:val="19"/>
                <w:szCs w:val="22"/>
                <w:rtl/>
              </w:rPr>
              <w:t>جهت اثر</w:t>
            </w:r>
          </w:p>
        </w:tc>
      </w:tr>
      <w:tr w:rsidR="00BE7135" w:rsidRPr="00244C39" w14:paraId="2588BE85" w14:textId="77777777" w:rsidTr="00CE10BB">
        <w:tc>
          <w:tcPr>
            <w:tcW w:w="1169" w:type="pct"/>
            <w:vAlign w:val="center"/>
          </w:tcPr>
          <w:p w14:paraId="1403BF69" w14:textId="77777777" w:rsidR="00BE7135" w:rsidRPr="007357B5" w:rsidRDefault="00BE7135" w:rsidP="00CE10BB">
            <w:pPr>
              <w:ind w:firstLine="0"/>
              <w:jc w:val="center"/>
              <w:rPr>
                <w:sz w:val="18"/>
                <w:szCs w:val="22"/>
              </w:rPr>
            </w:pPr>
            <w:r w:rsidRPr="00244C39">
              <w:rPr>
                <w:sz w:val="19"/>
                <w:szCs w:val="22"/>
                <w:rtl/>
              </w:rPr>
              <w:t>فاصله از منابع آب</w:t>
            </w:r>
          </w:p>
        </w:tc>
        <w:tc>
          <w:tcPr>
            <w:tcW w:w="657" w:type="pct"/>
            <w:vAlign w:val="center"/>
          </w:tcPr>
          <w:p w14:paraId="6ED2DC35" w14:textId="77777777" w:rsidR="00BE7135" w:rsidRPr="00244C39" w:rsidRDefault="00BE7135" w:rsidP="00CE10BB">
            <w:pPr>
              <w:bidi w:val="0"/>
              <w:ind w:firstLine="0"/>
              <w:jc w:val="center"/>
              <w:rPr>
                <w:sz w:val="20"/>
                <w:szCs w:val="22"/>
              </w:rPr>
            </w:pPr>
            <w:r w:rsidRPr="00244C39">
              <w:rPr>
                <w:sz w:val="19"/>
                <w:szCs w:val="22"/>
              </w:rPr>
              <w:t>Point</w:t>
            </w:r>
          </w:p>
        </w:tc>
        <w:tc>
          <w:tcPr>
            <w:tcW w:w="994" w:type="pct"/>
            <w:vAlign w:val="center"/>
          </w:tcPr>
          <w:p w14:paraId="2A56DEE2" w14:textId="77777777" w:rsidR="00BE7135" w:rsidRPr="00244C39" w:rsidRDefault="00BE7135" w:rsidP="00CE10BB">
            <w:pPr>
              <w:bidi w:val="0"/>
              <w:ind w:firstLine="0"/>
              <w:jc w:val="center"/>
              <w:rPr>
                <w:sz w:val="20"/>
                <w:szCs w:val="22"/>
              </w:rPr>
            </w:pPr>
            <w:r w:rsidRPr="00244C39">
              <w:rPr>
                <w:sz w:val="19"/>
                <w:szCs w:val="22"/>
              </w:rPr>
              <w:t>Euclidean Distance</w:t>
            </w:r>
          </w:p>
        </w:tc>
        <w:tc>
          <w:tcPr>
            <w:tcW w:w="906" w:type="pct"/>
            <w:vAlign w:val="center"/>
          </w:tcPr>
          <w:p w14:paraId="61B140DE" w14:textId="77777777" w:rsidR="00BE7135" w:rsidRPr="00244C39" w:rsidRDefault="00BE7135" w:rsidP="00CE10BB">
            <w:pPr>
              <w:bidi w:val="0"/>
              <w:ind w:firstLine="0"/>
              <w:jc w:val="center"/>
              <w:rPr>
                <w:sz w:val="20"/>
                <w:szCs w:val="22"/>
              </w:rPr>
            </w:pPr>
            <w:r w:rsidRPr="00244C39">
              <w:rPr>
                <w:sz w:val="19"/>
                <w:szCs w:val="22"/>
              </w:rPr>
              <w:t>Reclassify (1–5)</w:t>
            </w:r>
          </w:p>
        </w:tc>
        <w:tc>
          <w:tcPr>
            <w:tcW w:w="1274" w:type="pct"/>
            <w:vAlign w:val="center"/>
          </w:tcPr>
          <w:p w14:paraId="68126A66" w14:textId="77777777" w:rsidR="00BE7135" w:rsidRPr="00244C39" w:rsidRDefault="00BE7135" w:rsidP="00CE10BB">
            <w:pPr>
              <w:jc w:val="center"/>
              <w:rPr>
                <w:sz w:val="20"/>
                <w:szCs w:val="22"/>
              </w:rPr>
            </w:pPr>
            <w:r w:rsidRPr="00244C39">
              <w:rPr>
                <w:sz w:val="19"/>
                <w:szCs w:val="22"/>
                <w:rtl/>
              </w:rPr>
              <w:t>افزایشی</w:t>
            </w:r>
          </w:p>
        </w:tc>
      </w:tr>
      <w:tr w:rsidR="00BE7135" w:rsidRPr="00244C39" w14:paraId="74495FBA" w14:textId="77777777" w:rsidTr="00CE10BB">
        <w:tc>
          <w:tcPr>
            <w:tcW w:w="1169" w:type="pct"/>
            <w:vAlign w:val="center"/>
          </w:tcPr>
          <w:p w14:paraId="0A01CAA3" w14:textId="77777777" w:rsidR="00BE7135" w:rsidRPr="007357B5" w:rsidRDefault="00BE7135" w:rsidP="00CE10BB">
            <w:pPr>
              <w:ind w:firstLine="0"/>
              <w:jc w:val="center"/>
              <w:rPr>
                <w:sz w:val="18"/>
                <w:szCs w:val="22"/>
                <w:rtl/>
                <w:lang w:bidi="fa-IR"/>
              </w:rPr>
            </w:pPr>
            <w:r w:rsidRPr="00244C39">
              <w:rPr>
                <w:sz w:val="19"/>
                <w:szCs w:val="22"/>
                <w:rtl/>
              </w:rPr>
              <w:t>فاصله از آبراهه‌ها</w:t>
            </w:r>
          </w:p>
        </w:tc>
        <w:tc>
          <w:tcPr>
            <w:tcW w:w="657" w:type="pct"/>
            <w:vAlign w:val="center"/>
          </w:tcPr>
          <w:p w14:paraId="01C78C49" w14:textId="77777777" w:rsidR="00BE7135" w:rsidRPr="00244C39" w:rsidRDefault="00BE7135" w:rsidP="00CE10BB">
            <w:pPr>
              <w:bidi w:val="0"/>
              <w:ind w:firstLine="0"/>
              <w:jc w:val="center"/>
              <w:rPr>
                <w:sz w:val="20"/>
                <w:szCs w:val="22"/>
              </w:rPr>
            </w:pPr>
            <w:r w:rsidRPr="00244C39">
              <w:rPr>
                <w:sz w:val="19"/>
                <w:szCs w:val="22"/>
              </w:rPr>
              <w:t>Polyline</w:t>
            </w:r>
          </w:p>
        </w:tc>
        <w:tc>
          <w:tcPr>
            <w:tcW w:w="994" w:type="pct"/>
            <w:vAlign w:val="center"/>
          </w:tcPr>
          <w:p w14:paraId="5F5D816B" w14:textId="77777777" w:rsidR="00BE7135" w:rsidRPr="00244C39" w:rsidRDefault="00BE7135" w:rsidP="00CE10BB">
            <w:pPr>
              <w:bidi w:val="0"/>
              <w:ind w:firstLine="0"/>
              <w:jc w:val="center"/>
              <w:rPr>
                <w:sz w:val="20"/>
                <w:szCs w:val="22"/>
              </w:rPr>
            </w:pPr>
            <w:r w:rsidRPr="00244C39">
              <w:rPr>
                <w:sz w:val="19"/>
                <w:szCs w:val="22"/>
              </w:rPr>
              <w:t>Euclidean Distance</w:t>
            </w:r>
          </w:p>
        </w:tc>
        <w:tc>
          <w:tcPr>
            <w:tcW w:w="906" w:type="pct"/>
            <w:vAlign w:val="center"/>
          </w:tcPr>
          <w:p w14:paraId="213AC8DB" w14:textId="77777777" w:rsidR="00BE7135" w:rsidRPr="00244C39" w:rsidRDefault="00BE7135" w:rsidP="00CE10BB">
            <w:pPr>
              <w:bidi w:val="0"/>
              <w:ind w:firstLine="0"/>
              <w:jc w:val="center"/>
              <w:rPr>
                <w:sz w:val="20"/>
                <w:szCs w:val="22"/>
              </w:rPr>
            </w:pPr>
            <w:r w:rsidRPr="00244C39">
              <w:rPr>
                <w:sz w:val="19"/>
                <w:szCs w:val="22"/>
              </w:rPr>
              <w:t>Reclassify (1–5)</w:t>
            </w:r>
          </w:p>
        </w:tc>
        <w:tc>
          <w:tcPr>
            <w:tcW w:w="1274" w:type="pct"/>
            <w:vAlign w:val="center"/>
          </w:tcPr>
          <w:p w14:paraId="67384203" w14:textId="77777777" w:rsidR="00BE7135" w:rsidRPr="00244C39" w:rsidRDefault="00BE7135" w:rsidP="00CE10BB">
            <w:pPr>
              <w:jc w:val="center"/>
              <w:rPr>
                <w:sz w:val="20"/>
                <w:szCs w:val="22"/>
              </w:rPr>
            </w:pPr>
            <w:r w:rsidRPr="00244C39">
              <w:rPr>
                <w:sz w:val="19"/>
                <w:szCs w:val="22"/>
                <w:rtl/>
              </w:rPr>
              <w:t>افزایشی</w:t>
            </w:r>
          </w:p>
        </w:tc>
      </w:tr>
      <w:tr w:rsidR="00BE7135" w:rsidRPr="00244C39" w14:paraId="3CB79FFC" w14:textId="77777777" w:rsidTr="00CE10BB">
        <w:tc>
          <w:tcPr>
            <w:tcW w:w="1169" w:type="pct"/>
            <w:vAlign w:val="center"/>
          </w:tcPr>
          <w:p w14:paraId="3DEA5F54" w14:textId="77777777" w:rsidR="00BE7135" w:rsidRPr="007357B5" w:rsidRDefault="00BE7135" w:rsidP="00CE10BB">
            <w:pPr>
              <w:ind w:firstLine="0"/>
              <w:jc w:val="center"/>
              <w:rPr>
                <w:sz w:val="18"/>
                <w:szCs w:val="22"/>
              </w:rPr>
            </w:pPr>
            <w:r w:rsidRPr="00244C39">
              <w:rPr>
                <w:sz w:val="19"/>
                <w:szCs w:val="22"/>
                <w:rtl/>
              </w:rPr>
              <w:t>فاصله از سکونتگاه‌ها</w:t>
            </w:r>
          </w:p>
        </w:tc>
        <w:tc>
          <w:tcPr>
            <w:tcW w:w="657" w:type="pct"/>
            <w:vAlign w:val="center"/>
          </w:tcPr>
          <w:p w14:paraId="6357DDA0" w14:textId="77777777" w:rsidR="00BE7135" w:rsidRPr="00244C39" w:rsidRDefault="00BE7135" w:rsidP="00CE10BB">
            <w:pPr>
              <w:bidi w:val="0"/>
              <w:ind w:firstLine="0"/>
              <w:jc w:val="center"/>
              <w:rPr>
                <w:sz w:val="20"/>
                <w:szCs w:val="22"/>
              </w:rPr>
            </w:pPr>
            <w:r w:rsidRPr="00244C39">
              <w:rPr>
                <w:sz w:val="19"/>
                <w:szCs w:val="22"/>
              </w:rPr>
              <w:t>Polygon</w:t>
            </w:r>
          </w:p>
        </w:tc>
        <w:tc>
          <w:tcPr>
            <w:tcW w:w="994" w:type="pct"/>
            <w:vAlign w:val="center"/>
          </w:tcPr>
          <w:p w14:paraId="3CDE213C" w14:textId="77777777" w:rsidR="00BE7135" w:rsidRPr="00244C39" w:rsidRDefault="00BE7135" w:rsidP="00CE10BB">
            <w:pPr>
              <w:bidi w:val="0"/>
              <w:ind w:firstLine="0"/>
              <w:jc w:val="center"/>
              <w:rPr>
                <w:sz w:val="20"/>
                <w:szCs w:val="22"/>
              </w:rPr>
            </w:pPr>
            <w:r w:rsidRPr="00244C39">
              <w:rPr>
                <w:sz w:val="19"/>
                <w:szCs w:val="22"/>
              </w:rPr>
              <w:t>Euclidean Distance</w:t>
            </w:r>
          </w:p>
        </w:tc>
        <w:tc>
          <w:tcPr>
            <w:tcW w:w="906" w:type="pct"/>
            <w:vAlign w:val="center"/>
          </w:tcPr>
          <w:p w14:paraId="30ADDA08" w14:textId="77777777" w:rsidR="00BE7135" w:rsidRPr="00244C39" w:rsidRDefault="00BE7135" w:rsidP="00CE10BB">
            <w:pPr>
              <w:bidi w:val="0"/>
              <w:ind w:firstLine="0"/>
              <w:jc w:val="center"/>
              <w:rPr>
                <w:sz w:val="20"/>
                <w:szCs w:val="22"/>
              </w:rPr>
            </w:pPr>
            <w:r w:rsidRPr="00244C39">
              <w:rPr>
                <w:sz w:val="19"/>
                <w:szCs w:val="22"/>
              </w:rPr>
              <w:t>Reclassify (1–5)</w:t>
            </w:r>
          </w:p>
        </w:tc>
        <w:tc>
          <w:tcPr>
            <w:tcW w:w="1274" w:type="pct"/>
            <w:vAlign w:val="center"/>
          </w:tcPr>
          <w:p w14:paraId="18923994" w14:textId="77777777" w:rsidR="00BE7135" w:rsidRPr="00244C39" w:rsidRDefault="00BE7135" w:rsidP="00CE10BB">
            <w:pPr>
              <w:jc w:val="center"/>
              <w:rPr>
                <w:sz w:val="20"/>
                <w:szCs w:val="22"/>
              </w:rPr>
            </w:pPr>
            <w:r w:rsidRPr="00244C39">
              <w:rPr>
                <w:sz w:val="19"/>
                <w:szCs w:val="22"/>
                <w:rtl/>
              </w:rPr>
              <w:t>افزایشی</w:t>
            </w:r>
          </w:p>
        </w:tc>
      </w:tr>
      <w:tr w:rsidR="00BE7135" w:rsidRPr="00244C39" w14:paraId="3DDEF895" w14:textId="77777777" w:rsidTr="00CE10BB">
        <w:tc>
          <w:tcPr>
            <w:tcW w:w="1169" w:type="pct"/>
            <w:vAlign w:val="center"/>
          </w:tcPr>
          <w:p w14:paraId="6B814961" w14:textId="77777777" w:rsidR="00BE7135" w:rsidRPr="007357B5" w:rsidRDefault="00BE7135" w:rsidP="00CE10BB">
            <w:pPr>
              <w:ind w:firstLine="0"/>
              <w:jc w:val="center"/>
              <w:rPr>
                <w:sz w:val="18"/>
                <w:szCs w:val="22"/>
              </w:rPr>
            </w:pPr>
            <w:r w:rsidRPr="00244C39">
              <w:rPr>
                <w:sz w:val="19"/>
                <w:szCs w:val="22"/>
                <w:rtl/>
              </w:rPr>
              <w:t>فاصله از راه‌ها</w:t>
            </w:r>
          </w:p>
        </w:tc>
        <w:tc>
          <w:tcPr>
            <w:tcW w:w="657" w:type="pct"/>
            <w:vAlign w:val="center"/>
          </w:tcPr>
          <w:p w14:paraId="59E90F57" w14:textId="77777777" w:rsidR="00BE7135" w:rsidRPr="00244C39" w:rsidRDefault="00BE7135" w:rsidP="00CE10BB">
            <w:pPr>
              <w:bidi w:val="0"/>
              <w:ind w:firstLine="0"/>
              <w:jc w:val="center"/>
              <w:rPr>
                <w:sz w:val="20"/>
                <w:szCs w:val="22"/>
              </w:rPr>
            </w:pPr>
            <w:r w:rsidRPr="00244C39">
              <w:rPr>
                <w:sz w:val="19"/>
                <w:szCs w:val="22"/>
              </w:rPr>
              <w:t>Polyline</w:t>
            </w:r>
          </w:p>
        </w:tc>
        <w:tc>
          <w:tcPr>
            <w:tcW w:w="994" w:type="pct"/>
            <w:vAlign w:val="center"/>
          </w:tcPr>
          <w:p w14:paraId="5CFE553F" w14:textId="77777777" w:rsidR="00BE7135" w:rsidRPr="00244C39" w:rsidRDefault="00BE7135" w:rsidP="00CE10BB">
            <w:pPr>
              <w:bidi w:val="0"/>
              <w:ind w:firstLine="0"/>
              <w:jc w:val="center"/>
              <w:rPr>
                <w:sz w:val="20"/>
                <w:szCs w:val="22"/>
              </w:rPr>
            </w:pPr>
            <w:r w:rsidRPr="00244C39">
              <w:rPr>
                <w:sz w:val="19"/>
                <w:szCs w:val="22"/>
              </w:rPr>
              <w:t>Euclidean Distance</w:t>
            </w:r>
          </w:p>
        </w:tc>
        <w:tc>
          <w:tcPr>
            <w:tcW w:w="906" w:type="pct"/>
            <w:vAlign w:val="center"/>
          </w:tcPr>
          <w:p w14:paraId="24192728" w14:textId="77777777" w:rsidR="00BE7135" w:rsidRPr="00244C39" w:rsidRDefault="00BE7135" w:rsidP="00CE10BB">
            <w:pPr>
              <w:bidi w:val="0"/>
              <w:ind w:firstLine="0"/>
              <w:jc w:val="center"/>
              <w:rPr>
                <w:sz w:val="20"/>
                <w:szCs w:val="22"/>
              </w:rPr>
            </w:pPr>
            <w:r w:rsidRPr="00244C39">
              <w:rPr>
                <w:sz w:val="19"/>
                <w:szCs w:val="22"/>
              </w:rPr>
              <w:t>Reclassify (1–5)</w:t>
            </w:r>
          </w:p>
        </w:tc>
        <w:tc>
          <w:tcPr>
            <w:tcW w:w="1274" w:type="pct"/>
            <w:vAlign w:val="center"/>
          </w:tcPr>
          <w:p w14:paraId="73FFF821" w14:textId="77777777" w:rsidR="00BE7135" w:rsidRPr="00244C39" w:rsidRDefault="00BE7135" w:rsidP="00CE10BB">
            <w:pPr>
              <w:jc w:val="center"/>
              <w:rPr>
                <w:sz w:val="20"/>
                <w:szCs w:val="22"/>
              </w:rPr>
            </w:pPr>
            <w:r w:rsidRPr="00244C39">
              <w:rPr>
                <w:sz w:val="19"/>
                <w:szCs w:val="22"/>
                <w:rtl/>
              </w:rPr>
              <w:t>افزایشی</w:t>
            </w:r>
          </w:p>
        </w:tc>
      </w:tr>
      <w:tr w:rsidR="00BE7135" w:rsidRPr="00244C39" w14:paraId="4A4B72BC" w14:textId="77777777" w:rsidTr="00CE10BB">
        <w:tc>
          <w:tcPr>
            <w:tcW w:w="1169" w:type="pct"/>
            <w:vAlign w:val="center"/>
          </w:tcPr>
          <w:p w14:paraId="2DF349DE" w14:textId="77777777" w:rsidR="00BE7135" w:rsidRPr="007357B5" w:rsidRDefault="00BE7135" w:rsidP="00CE10BB">
            <w:pPr>
              <w:ind w:firstLine="0"/>
              <w:jc w:val="center"/>
              <w:rPr>
                <w:sz w:val="18"/>
                <w:szCs w:val="22"/>
              </w:rPr>
            </w:pPr>
            <w:r w:rsidRPr="00244C39">
              <w:rPr>
                <w:sz w:val="19"/>
                <w:szCs w:val="22"/>
                <w:rtl/>
              </w:rPr>
              <w:t>شیب</w:t>
            </w:r>
          </w:p>
        </w:tc>
        <w:tc>
          <w:tcPr>
            <w:tcW w:w="657" w:type="pct"/>
            <w:vAlign w:val="center"/>
          </w:tcPr>
          <w:p w14:paraId="6965860A" w14:textId="77777777" w:rsidR="00BE7135" w:rsidRPr="00244C39" w:rsidRDefault="00BE7135" w:rsidP="00CE10BB">
            <w:pPr>
              <w:bidi w:val="0"/>
              <w:ind w:firstLine="0"/>
              <w:jc w:val="center"/>
              <w:rPr>
                <w:sz w:val="20"/>
                <w:szCs w:val="22"/>
              </w:rPr>
            </w:pPr>
            <w:r w:rsidRPr="00244C39">
              <w:rPr>
                <w:sz w:val="19"/>
                <w:szCs w:val="22"/>
              </w:rPr>
              <w:t>Raster</w:t>
            </w:r>
          </w:p>
        </w:tc>
        <w:tc>
          <w:tcPr>
            <w:tcW w:w="994" w:type="pct"/>
            <w:vAlign w:val="center"/>
          </w:tcPr>
          <w:p w14:paraId="76D416E7" w14:textId="77777777" w:rsidR="00BE7135" w:rsidRPr="00244C39" w:rsidRDefault="00BE7135" w:rsidP="00CE10BB">
            <w:pPr>
              <w:bidi w:val="0"/>
              <w:ind w:firstLine="0"/>
              <w:jc w:val="center"/>
              <w:rPr>
                <w:sz w:val="20"/>
                <w:szCs w:val="22"/>
              </w:rPr>
            </w:pPr>
            <w:r w:rsidRPr="00244C39">
              <w:rPr>
                <w:sz w:val="19"/>
                <w:szCs w:val="22"/>
              </w:rPr>
              <w:t>Slope Tool</w:t>
            </w:r>
          </w:p>
        </w:tc>
        <w:tc>
          <w:tcPr>
            <w:tcW w:w="906" w:type="pct"/>
            <w:vAlign w:val="center"/>
          </w:tcPr>
          <w:p w14:paraId="417FA3FD" w14:textId="77777777" w:rsidR="00BE7135" w:rsidRPr="00244C39" w:rsidRDefault="00BE7135" w:rsidP="00CE10BB">
            <w:pPr>
              <w:bidi w:val="0"/>
              <w:ind w:firstLine="0"/>
              <w:jc w:val="center"/>
              <w:rPr>
                <w:sz w:val="20"/>
                <w:szCs w:val="22"/>
              </w:rPr>
            </w:pPr>
            <w:r w:rsidRPr="00244C39">
              <w:rPr>
                <w:sz w:val="19"/>
                <w:szCs w:val="22"/>
              </w:rPr>
              <w:t>Reclassify (1–5)</w:t>
            </w:r>
          </w:p>
        </w:tc>
        <w:tc>
          <w:tcPr>
            <w:tcW w:w="1274" w:type="pct"/>
            <w:vAlign w:val="center"/>
          </w:tcPr>
          <w:p w14:paraId="58C2F55A" w14:textId="77777777" w:rsidR="00BE7135" w:rsidRPr="00244C39" w:rsidRDefault="00BE7135" w:rsidP="00CE10BB">
            <w:pPr>
              <w:jc w:val="center"/>
              <w:rPr>
                <w:sz w:val="20"/>
                <w:szCs w:val="22"/>
              </w:rPr>
            </w:pPr>
            <w:r w:rsidRPr="00244C39">
              <w:rPr>
                <w:sz w:val="19"/>
                <w:szCs w:val="22"/>
                <w:rtl/>
              </w:rPr>
              <w:t>کاهشی</w:t>
            </w:r>
          </w:p>
        </w:tc>
      </w:tr>
      <w:tr w:rsidR="00BE7135" w:rsidRPr="00244C39" w14:paraId="50E75CB1" w14:textId="77777777" w:rsidTr="00CE10BB">
        <w:tc>
          <w:tcPr>
            <w:tcW w:w="1169" w:type="pct"/>
            <w:vAlign w:val="center"/>
          </w:tcPr>
          <w:p w14:paraId="4B7D657F" w14:textId="77777777" w:rsidR="00BE7135" w:rsidRPr="007357B5" w:rsidRDefault="00BE7135" w:rsidP="00CE10BB">
            <w:pPr>
              <w:ind w:firstLine="0"/>
              <w:jc w:val="center"/>
              <w:rPr>
                <w:sz w:val="18"/>
                <w:szCs w:val="22"/>
              </w:rPr>
            </w:pPr>
            <w:r w:rsidRPr="00244C39">
              <w:rPr>
                <w:sz w:val="19"/>
                <w:szCs w:val="22"/>
                <w:rtl/>
              </w:rPr>
              <w:t>فاصله از مناطق حفاظت‌شده</w:t>
            </w:r>
          </w:p>
        </w:tc>
        <w:tc>
          <w:tcPr>
            <w:tcW w:w="657" w:type="pct"/>
            <w:vAlign w:val="center"/>
          </w:tcPr>
          <w:p w14:paraId="24AB92C1" w14:textId="77777777" w:rsidR="00BE7135" w:rsidRPr="00244C39" w:rsidRDefault="00BE7135" w:rsidP="00CE10BB">
            <w:pPr>
              <w:bidi w:val="0"/>
              <w:ind w:firstLine="0"/>
              <w:jc w:val="center"/>
              <w:rPr>
                <w:sz w:val="20"/>
                <w:szCs w:val="22"/>
              </w:rPr>
            </w:pPr>
            <w:r w:rsidRPr="00244C39">
              <w:rPr>
                <w:sz w:val="19"/>
                <w:szCs w:val="22"/>
              </w:rPr>
              <w:t>Polygon</w:t>
            </w:r>
          </w:p>
        </w:tc>
        <w:tc>
          <w:tcPr>
            <w:tcW w:w="994" w:type="pct"/>
            <w:vAlign w:val="center"/>
          </w:tcPr>
          <w:p w14:paraId="6529B2E1" w14:textId="77777777" w:rsidR="00BE7135" w:rsidRPr="00244C39" w:rsidRDefault="00BE7135" w:rsidP="00CE10BB">
            <w:pPr>
              <w:bidi w:val="0"/>
              <w:ind w:firstLine="0"/>
              <w:jc w:val="center"/>
              <w:rPr>
                <w:sz w:val="20"/>
                <w:szCs w:val="22"/>
              </w:rPr>
            </w:pPr>
            <w:r w:rsidRPr="00244C39">
              <w:rPr>
                <w:sz w:val="19"/>
                <w:szCs w:val="22"/>
              </w:rPr>
              <w:t>Euclidean Distance</w:t>
            </w:r>
          </w:p>
        </w:tc>
        <w:tc>
          <w:tcPr>
            <w:tcW w:w="906" w:type="pct"/>
            <w:vAlign w:val="center"/>
          </w:tcPr>
          <w:p w14:paraId="0BC0477F" w14:textId="77777777" w:rsidR="00BE7135" w:rsidRPr="00244C39" w:rsidRDefault="00BE7135" w:rsidP="00CE10BB">
            <w:pPr>
              <w:bidi w:val="0"/>
              <w:ind w:firstLine="0"/>
              <w:jc w:val="center"/>
              <w:rPr>
                <w:sz w:val="20"/>
                <w:szCs w:val="22"/>
              </w:rPr>
            </w:pPr>
            <w:r w:rsidRPr="00244C39">
              <w:rPr>
                <w:sz w:val="19"/>
                <w:szCs w:val="22"/>
              </w:rPr>
              <w:t>Reclassify (1–5)</w:t>
            </w:r>
          </w:p>
        </w:tc>
        <w:tc>
          <w:tcPr>
            <w:tcW w:w="1274" w:type="pct"/>
            <w:vAlign w:val="center"/>
          </w:tcPr>
          <w:p w14:paraId="6A8379DF" w14:textId="77777777" w:rsidR="00BE7135" w:rsidRPr="00244C39" w:rsidRDefault="00BE7135" w:rsidP="00CE10BB">
            <w:pPr>
              <w:jc w:val="center"/>
              <w:rPr>
                <w:sz w:val="20"/>
                <w:szCs w:val="22"/>
              </w:rPr>
            </w:pPr>
            <w:r w:rsidRPr="00244C39">
              <w:rPr>
                <w:sz w:val="19"/>
                <w:szCs w:val="22"/>
                <w:rtl/>
              </w:rPr>
              <w:t>افزایشی</w:t>
            </w:r>
          </w:p>
        </w:tc>
      </w:tr>
      <w:tr w:rsidR="00BE7135" w:rsidRPr="00244C39" w14:paraId="485BD65B" w14:textId="77777777" w:rsidTr="00CE10BB">
        <w:tc>
          <w:tcPr>
            <w:tcW w:w="1169" w:type="pct"/>
            <w:vAlign w:val="center"/>
          </w:tcPr>
          <w:p w14:paraId="56DBD5BB" w14:textId="77777777" w:rsidR="00BE7135" w:rsidRPr="007357B5" w:rsidRDefault="00BE7135" w:rsidP="00CE10BB">
            <w:pPr>
              <w:ind w:firstLine="0"/>
              <w:jc w:val="center"/>
              <w:rPr>
                <w:sz w:val="18"/>
                <w:szCs w:val="22"/>
              </w:rPr>
            </w:pPr>
            <w:r w:rsidRPr="00244C39">
              <w:rPr>
                <w:sz w:val="19"/>
                <w:szCs w:val="22"/>
                <w:rtl/>
              </w:rPr>
              <w:t>پوشش و کاربری اراضی</w:t>
            </w:r>
          </w:p>
        </w:tc>
        <w:tc>
          <w:tcPr>
            <w:tcW w:w="657" w:type="pct"/>
            <w:vAlign w:val="center"/>
          </w:tcPr>
          <w:p w14:paraId="4AA34232" w14:textId="77777777" w:rsidR="00BE7135" w:rsidRPr="00244C39" w:rsidRDefault="00BE7135" w:rsidP="00CE10BB">
            <w:pPr>
              <w:bidi w:val="0"/>
              <w:ind w:firstLine="0"/>
              <w:jc w:val="center"/>
              <w:rPr>
                <w:sz w:val="20"/>
                <w:szCs w:val="22"/>
              </w:rPr>
            </w:pPr>
            <w:r w:rsidRPr="00244C39">
              <w:rPr>
                <w:sz w:val="19"/>
                <w:szCs w:val="22"/>
              </w:rPr>
              <w:t>Polygon</w:t>
            </w:r>
          </w:p>
        </w:tc>
        <w:tc>
          <w:tcPr>
            <w:tcW w:w="994" w:type="pct"/>
            <w:vAlign w:val="center"/>
          </w:tcPr>
          <w:p w14:paraId="742F5B24" w14:textId="77777777" w:rsidR="00BE7135" w:rsidRPr="00244C39" w:rsidRDefault="00BE7135" w:rsidP="00CE10BB">
            <w:pPr>
              <w:bidi w:val="0"/>
              <w:ind w:firstLine="0"/>
              <w:jc w:val="center"/>
              <w:rPr>
                <w:sz w:val="20"/>
                <w:szCs w:val="22"/>
              </w:rPr>
            </w:pPr>
            <w:r w:rsidRPr="00244C39">
              <w:rPr>
                <w:sz w:val="19"/>
                <w:szCs w:val="22"/>
              </w:rPr>
              <w:t>Polygon to Raster</w:t>
            </w:r>
          </w:p>
        </w:tc>
        <w:tc>
          <w:tcPr>
            <w:tcW w:w="906" w:type="pct"/>
            <w:vAlign w:val="center"/>
          </w:tcPr>
          <w:p w14:paraId="57C87242" w14:textId="77777777" w:rsidR="00BE7135" w:rsidRPr="00244C39" w:rsidRDefault="00BE7135" w:rsidP="00CE10BB">
            <w:pPr>
              <w:bidi w:val="0"/>
              <w:ind w:firstLine="0"/>
              <w:jc w:val="center"/>
              <w:rPr>
                <w:sz w:val="20"/>
                <w:szCs w:val="22"/>
              </w:rPr>
            </w:pPr>
            <w:r w:rsidRPr="00244C39">
              <w:rPr>
                <w:sz w:val="19"/>
                <w:szCs w:val="22"/>
              </w:rPr>
              <w:t>Reclassify (1–5)</w:t>
            </w:r>
          </w:p>
        </w:tc>
        <w:tc>
          <w:tcPr>
            <w:tcW w:w="1274" w:type="pct"/>
            <w:vAlign w:val="center"/>
          </w:tcPr>
          <w:p w14:paraId="3FD42352" w14:textId="77777777" w:rsidR="00BE7135" w:rsidRPr="00244C39" w:rsidRDefault="00BE7135" w:rsidP="00CE10BB">
            <w:pPr>
              <w:ind w:firstLine="0"/>
              <w:jc w:val="center"/>
              <w:rPr>
                <w:sz w:val="20"/>
                <w:szCs w:val="22"/>
              </w:rPr>
            </w:pPr>
            <w:r w:rsidRPr="00244C39">
              <w:rPr>
                <w:sz w:val="19"/>
                <w:szCs w:val="22"/>
                <w:rtl/>
              </w:rPr>
              <w:t>وابسته به حساسیت اکولوژیکی</w:t>
            </w:r>
          </w:p>
        </w:tc>
      </w:tr>
      <w:tr w:rsidR="00BE7135" w:rsidRPr="00244C39" w14:paraId="2BCD7E85" w14:textId="77777777" w:rsidTr="00CE10BB">
        <w:tc>
          <w:tcPr>
            <w:tcW w:w="5000" w:type="pct"/>
            <w:gridSpan w:val="5"/>
            <w:vAlign w:val="bottom"/>
          </w:tcPr>
          <w:p w14:paraId="063B4B89" w14:textId="77777777" w:rsidR="0029237B" w:rsidRPr="00853216" w:rsidRDefault="00000000">
            <w:pPr>
              <w:rPr>
                <w:sz w:val="18"/>
                <w:szCs w:val="22"/>
                <w:rtl/>
              </w:rPr>
            </w:pPr>
            <w:r w:rsidRPr="00853216">
              <w:rPr>
                <w:sz w:val="18"/>
                <w:szCs w:val="22"/>
                <w:rtl/>
              </w:rPr>
              <w:t xml:space="preserve">منبع داده: اداره کل حفاظت محیط زیست استان آذربایجان شرقی (داده‌های </w:t>
            </w:r>
            <w:r w:rsidRPr="00853216">
              <w:rPr>
                <w:sz w:val="18"/>
                <w:szCs w:val="22"/>
              </w:rPr>
              <w:t>Shapefile</w:t>
            </w:r>
            <w:r w:rsidRPr="00853216">
              <w:rPr>
                <w:sz w:val="18"/>
                <w:szCs w:val="22"/>
                <w:rtl/>
              </w:rPr>
              <w:t xml:space="preserve"> دریافتی؛ سال تولید اولیه در </w:t>
            </w:r>
            <w:r w:rsidRPr="00853216">
              <w:rPr>
                <w:sz w:val="18"/>
                <w:szCs w:val="22"/>
              </w:rPr>
              <w:t>Metadata</w:t>
            </w:r>
            <w:r w:rsidRPr="00853216">
              <w:rPr>
                <w:sz w:val="18"/>
                <w:szCs w:val="22"/>
                <w:rtl/>
              </w:rPr>
              <w:t xml:space="preserve"> مشخص نشده است)</w:t>
            </w:r>
          </w:p>
        </w:tc>
      </w:tr>
    </w:tbl>
    <w:p w14:paraId="057B6D31" w14:textId="77777777" w:rsidR="00462C54" w:rsidRPr="00FB51C2" w:rsidRDefault="00462C54" w:rsidP="003D7BF1">
      <w:pPr>
        <w:pStyle w:val="Heading2"/>
        <w:rPr>
          <w:b w:val="0"/>
          <w:bCs w:val="0"/>
        </w:rPr>
      </w:pPr>
      <w:r w:rsidRPr="00FB51C2">
        <w:rPr>
          <w:b w:val="0"/>
          <w:bCs w:val="0"/>
          <w:rtl/>
        </w:rPr>
        <w:t>تولید و استانداردسازی معیارها</w:t>
      </w:r>
    </w:p>
    <w:p w14:paraId="6B189F1B" w14:textId="77777777" w:rsidR="00462C54" w:rsidRPr="00C216CE" w:rsidRDefault="00462C54" w:rsidP="00C216CE">
      <w:pPr>
        <w:pStyle w:val="Heading2"/>
        <w:rPr>
          <w:b w:val="0"/>
          <w:bCs w:val="0"/>
        </w:rPr>
      </w:pPr>
      <w:r w:rsidRPr="00C216CE">
        <w:rPr>
          <w:b w:val="0"/>
          <w:bCs w:val="0"/>
          <w:rtl/>
        </w:rPr>
        <w:t>معیارهای فاصله‌ای</w:t>
      </w:r>
    </w:p>
    <w:p w14:paraId="2A9CB264" w14:textId="77777777" w:rsidR="009528ED" w:rsidRDefault="009528ED" w:rsidP="009528ED">
      <w:pPr>
        <w:spacing w:after="40"/>
        <w:rPr>
          <w:rtl/>
        </w:rPr>
      </w:pPr>
      <w:r>
        <w:rPr>
          <w:rtl/>
        </w:rPr>
        <w:t>برا</w:t>
      </w:r>
      <w:r>
        <w:rPr>
          <w:rFonts w:hint="cs"/>
          <w:rtl/>
        </w:rPr>
        <w:t>ی</w:t>
      </w:r>
      <w:r>
        <w:rPr>
          <w:rtl/>
        </w:rPr>
        <w:t xml:space="preserve"> مع</w:t>
      </w:r>
      <w:r>
        <w:rPr>
          <w:rFonts w:hint="cs"/>
          <w:rtl/>
        </w:rPr>
        <w:t>ی</w:t>
      </w:r>
      <w:r>
        <w:rPr>
          <w:rFonts w:hint="eastAsia"/>
          <w:rtl/>
        </w:rPr>
        <w:t>ارها</w:t>
      </w:r>
      <w:r>
        <w:rPr>
          <w:rFonts w:hint="cs"/>
          <w:rtl/>
        </w:rPr>
        <w:t>ی</w:t>
      </w:r>
      <w:r>
        <w:rPr>
          <w:rtl/>
        </w:rPr>
        <w:t xml:space="preserve"> مربوط به منابع آب، آبراهه‌ها، سکونتگاه‌ها، راه‌ها</w:t>
      </w:r>
      <w:r>
        <w:rPr>
          <w:rFonts w:hint="cs"/>
          <w:rtl/>
        </w:rPr>
        <w:t>ی</w:t>
      </w:r>
      <w:r>
        <w:rPr>
          <w:rtl/>
        </w:rPr>
        <w:t xml:space="preserve"> ارتباط</w:t>
      </w:r>
      <w:r>
        <w:rPr>
          <w:rFonts w:hint="cs"/>
          <w:rtl/>
        </w:rPr>
        <w:t>ی</w:t>
      </w:r>
      <w:r>
        <w:rPr>
          <w:rtl/>
        </w:rPr>
        <w:t xml:space="preserve"> و مناطق حفاظت‌شده، ابتدا فاصله اقل</w:t>
      </w:r>
      <w:r>
        <w:rPr>
          <w:rFonts w:hint="cs"/>
          <w:rtl/>
        </w:rPr>
        <w:t>ی</w:t>
      </w:r>
      <w:r>
        <w:rPr>
          <w:rFonts w:hint="eastAsia"/>
          <w:rtl/>
        </w:rPr>
        <w:t>دس</w:t>
      </w:r>
      <w:r>
        <w:rPr>
          <w:rFonts w:hint="cs"/>
          <w:rtl/>
        </w:rPr>
        <w:t>ی</w:t>
      </w:r>
      <w:r>
        <w:rPr>
          <w:rtl/>
        </w:rPr>
        <w:t xml:space="preserve"> از عوارض مکان</w:t>
      </w:r>
      <w:r>
        <w:rPr>
          <w:rFonts w:hint="cs"/>
          <w:rtl/>
        </w:rPr>
        <w:t>ی</w:t>
      </w:r>
      <w:r>
        <w:rPr>
          <w:rtl/>
        </w:rPr>
        <w:t xml:space="preserve"> مربوطه در مح</w:t>
      </w:r>
      <w:r>
        <w:rPr>
          <w:rFonts w:hint="cs"/>
          <w:rtl/>
        </w:rPr>
        <w:t>ی</w:t>
      </w:r>
      <w:r>
        <w:rPr>
          <w:rFonts w:hint="eastAsia"/>
          <w:rtl/>
        </w:rPr>
        <w:t>ط</w:t>
      </w:r>
      <w:r>
        <w:rPr>
          <w:rtl/>
        </w:rPr>
        <w:t xml:space="preserve"> </w:t>
      </w:r>
      <w:r>
        <w:t>GIS</w:t>
      </w:r>
      <w:r>
        <w:rPr>
          <w:rtl/>
        </w:rPr>
        <w:t xml:space="preserve"> محاسبه شد. سپس مقاد</w:t>
      </w:r>
      <w:r>
        <w:rPr>
          <w:rFonts w:hint="cs"/>
          <w:rtl/>
        </w:rPr>
        <w:t>ی</w:t>
      </w:r>
      <w:r>
        <w:rPr>
          <w:rFonts w:hint="eastAsia"/>
          <w:rtl/>
        </w:rPr>
        <w:t>ر</w:t>
      </w:r>
      <w:r>
        <w:rPr>
          <w:rtl/>
        </w:rPr>
        <w:t xml:space="preserve"> حاصل به پنج طبقه استاندارد تبد</w:t>
      </w:r>
      <w:r>
        <w:rPr>
          <w:rFonts w:hint="cs"/>
          <w:rtl/>
        </w:rPr>
        <w:t>ی</w:t>
      </w:r>
      <w:r>
        <w:rPr>
          <w:rFonts w:hint="eastAsia"/>
          <w:rtl/>
        </w:rPr>
        <w:t>ل</w:t>
      </w:r>
      <w:r>
        <w:rPr>
          <w:rtl/>
        </w:rPr>
        <w:t xml:space="preserve"> شدند.</w:t>
      </w:r>
    </w:p>
    <w:p w14:paraId="5874693D" w14:textId="77777777" w:rsidR="009528ED" w:rsidRDefault="009528ED" w:rsidP="00E1609B">
      <w:pPr>
        <w:spacing w:after="60"/>
        <w:rPr>
          <w:rtl/>
        </w:rPr>
      </w:pPr>
      <w:r>
        <w:rPr>
          <w:rtl/>
        </w:rPr>
        <w:t>منطق استانداردسازی به‌گونه‌ای بود که برای معیارهای حفاظتی، افزایش فاصله از عنصر حساس با افزایش تناسب محیط‌زیستی همراه باشد. بنابراین، مناطق نزدیک به منابع آب، آبراهه‌ها، سکونتگاه‌ها و مناطق حفاظت‌شده امتیاز تناسب پایین‌تری دریافت کردند، در حالی که با افزایش فاصله، امتیاز تناسب افزایش یافت.  در مورد فاصله از راه‌ها، افزایش فاصله به‌عنوان مطلوبیت نسبی بیشتر از منظر کاهش تعارض و مزاحمت محیطزیستی در نظر گرفته شد و مزیت دسترسی اقتصادی به راه‌ها در مدل وارد نشد. همچنین، مناطق حفاظت‌شده به‌صورت یک معیار فاصله‌ای و محدودیت نسبی وارد مدل شدند؛ هرگونه ممنوعیت یا محدودیت قانونی مستقل، در تصمیم نهایی بر نتایج مدل اولویت دارد.</w:t>
      </w:r>
    </w:p>
    <w:p w14:paraId="04F62ADF" w14:textId="77777777" w:rsidR="00462C54" w:rsidRPr="00462C54" w:rsidRDefault="009528ED" w:rsidP="009528ED">
      <w:pPr>
        <w:spacing w:after="60"/>
        <w:rPr>
          <w:rtl/>
        </w:rPr>
      </w:pPr>
      <w:r>
        <w:rPr>
          <w:rtl/>
        </w:rPr>
        <w:t xml:space="preserve">این رویکرد موجب شد معیارهای مختلف که دارای واحدهای اندازه‌گیری متفاوت بودند، به یک مقیاس مشترک تبدیل شده و قابلیت ورود همزمان به مدل </w:t>
      </w:r>
      <w:r>
        <w:t>AHP–GIS</w:t>
      </w:r>
      <w:r>
        <w:rPr>
          <w:rtl/>
        </w:rPr>
        <w:t xml:space="preserve"> را پیدا کنند. بازه‌های عددی بازطبقه‌بندی هر معیار در مدل </w:t>
      </w:r>
      <w:r>
        <w:t>GIS</w:t>
      </w:r>
      <w:r>
        <w:rPr>
          <w:rtl/>
        </w:rPr>
        <w:t xml:space="preserve"> ثبت و در پایگاه داده پروژه نگهداری شد تا قابلیت بازتولید تحلیل فراهم باشد.</w:t>
      </w:r>
    </w:p>
    <w:p w14:paraId="72D75B17" w14:textId="77777777" w:rsidR="00462C54" w:rsidRPr="00FB51C2" w:rsidRDefault="00462C54" w:rsidP="00E1609B">
      <w:pPr>
        <w:pStyle w:val="Heading2"/>
        <w:rPr>
          <w:b w:val="0"/>
          <w:bCs w:val="0"/>
        </w:rPr>
      </w:pPr>
      <w:r w:rsidRPr="00FB51C2">
        <w:rPr>
          <w:b w:val="0"/>
          <w:bCs w:val="0"/>
          <w:rtl/>
        </w:rPr>
        <w:t>معیار شیب</w:t>
      </w:r>
    </w:p>
    <w:p w14:paraId="4ACE7665" w14:textId="77777777" w:rsidR="00462C54" w:rsidRPr="00462C54" w:rsidRDefault="00462C54" w:rsidP="00E1609B">
      <w:r w:rsidRPr="00462C54">
        <w:rPr>
          <w:rtl/>
        </w:rPr>
        <w:t>نقشه شیب از مدل رقومی ارتفاع</w:t>
      </w:r>
      <w:r w:rsidRPr="00462C54">
        <w:t xml:space="preserve"> (DEM) </w:t>
      </w:r>
      <w:r w:rsidRPr="00462C54">
        <w:rPr>
          <w:rtl/>
        </w:rPr>
        <w:t>استخراج شد. سپس مقادیر شیب با توجه به اثر آن بر پایداری دامنه، فرسایش، رواناب و دشواری عملیات معدنی به پنج طبقه استاندارد تبدیل شدند</w:t>
      </w:r>
      <w:r w:rsidRPr="00462C54">
        <w:t>.</w:t>
      </w:r>
    </w:p>
    <w:p w14:paraId="6DA0D00A" w14:textId="77777777" w:rsidR="00462C54" w:rsidRPr="00462C54" w:rsidRDefault="00462C54" w:rsidP="00E1609B">
      <w:r w:rsidRPr="00462C54">
        <w:rPr>
          <w:rtl/>
        </w:rPr>
        <w:lastRenderedPageBreak/>
        <w:t>در این معیار، مناطق دارای شیب کمتر از نظر مدل تناسب بیشتری برای توسعه دریافت کردند و مناطق دارای شیب زیاد به دلیل افزایش احتمال ناپایداری دامنه، فرسایش و محدودیت‌های اجرایی، امتیاز تناسب پایین‌تری گرفتند</w:t>
      </w:r>
      <w:r w:rsidRPr="00462C54">
        <w:t xml:space="preserve">. </w:t>
      </w:r>
    </w:p>
    <w:p w14:paraId="4D59F72F" w14:textId="77777777" w:rsidR="00462C54" w:rsidRPr="00FB51C2" w:rsidRDefault="00462C54" w:rsidP="00E1609B">
      <w:pPr>
        <w:pStyle w:val="Heading2"/>
        <w:rPr>
          <w:b w:val="0"/>
          <w:bCs w:val="0"/>
        </w:rPr>
      </w:pPr>
      <w:r w:rsidRPr="00FB51C2">
        <w:rPr>
          <w:b w:val="0"/>
          <w:bCs w:val="0"/>
          <w:rtl/>
        </w:rPr>
        <w:t>معیار پوشش و کاربری اراضی</w:t>
      </w:r>
    </w:p>
    <w:p w14:paraId="0F6CA11E" w14:textId="77777777" w:rsidR="00462C54" w:rsidRPr="00462C54" w:rsidRDefault="00462C54" w:rsidP="00E1609B">
      <w:r w:rsidRPr="00462C54">
        <w:rPr>
          <w:rtl/>
        </w:rPr>
        <w:t>لایه پوشش و کاربری اراضی ابتدا از داده‌های پلیگونی به ساختار رستری تبدیل شد. سپس واحدهای مختلف کاربری و پوشش اراضی بر اساس حساسیت محیط‌زیستی آنها به پنج طبقه تناسب استاندارد شدند</w:t>
      </w:r>
      <w:r w:rsidRPr="00462C54">
        <w:t>.</w:t>
      </w:r>
    </w:p>
    <w:p w14:paraId="556DA39C" w14:textId="77777777" w:rsidR="00462C54" w:rsidRPr="00462C54" w:rsidRDefault="00462C54" w:rsidP="002112C3">
      <w:pPr>
        <w:spacing w:after="40"/>
      </w:pPr>
      <w:r w:rsidRPr="00462C54">
        <w:rPr>
          <w:rtl/>
        </w:rPr>
        <w:t>در این فرآیند، کاربری‌ها و پوشش‌های دارای حساسیت اکولوژیکی بیشتر، امتیاز تناسب پایین‌تری دریافت کردند؛ در مقابل، پهنه‌هایی با حساسیت محیط‌زیستی کمتر، امتیاز تناسب بیشتری کسب کردند. روش تولید و استانداردسازی این معیار در نسخه فعلی مقاله نیز به همین صورت ثبت شده است</w:t>
      </w:r>
      <w:r w:rsidRPr="00462C54">
        <w:t xml:space="preserve">. </w:t>
      </w:r>
    </w:p>
    <w:p w14:paraId="6A2A7BD9" w14:textId="77777777" w:rsidR="00462C54" w:rsidRPr="00FB51C2" w:rsidRDefault="00462C54" w:rsidP="00E1609B">
      <w:pPr>
        <w:pStyle w:val="Heading2"/>
        <w:rPr>
          <w:b w:val="0"/>
          <w:bCs w:val="0"/>
        </w:rPr>
      </w:pPr>
      <w:r w:rsidRPr="00FB51C2">
        <w:rPr>
          <w:b w:val="0"/>
          <w:bCs w:val="0"/>
          <w:rtl/>
        </w:rPr>
        <w:t xml:space="preserve">وزن‌دهی </w:t>
      </w:r>
      <w:r w:rsidRPr="00FB51C2">
        <w:rPr>
          <w:b w:val="0"/>
          <w:bCs w:val="0"/>
          <w:szCs w:val="21"/>
          <w:rtl/>
        </w:rPr>
        <w:t>معیارها</w:t>
      </w:r>
      <w:r w:rsidRPr="00FB51C2">
        <w:rPr>
          <w:b w:val="0"/>
          <w:bCs w:val="0"/>
          <w:rtl/>
        </w:rPr>
        <w:t xml:space="preserve"> با فرآیند تحلیل سلسله‌مراتبی</w:t>
      </w:r>
      <w:r w:rsidRPr="00FB51C2">
        <w:rPr>
          <w:b w:val="0"/>
          <w:bCs w:val="0"/>
        </w:rPr>
        <w:t xml:space="preserve"> (AHP)</w:t>
      </w:r>
    </w:p>
    <w:p w14:paraId="7ADE2E69" w14:textId="77777777" w:rsidR="009528ED" w:rsidRDefault="009528ED" w:rsidP="009528ED">
      <w:pPr>
        <w:spacing w:after="60"/>
        <w:rPr>
          <w:rtl/>
        </w:rPr>
      </w:pPr>
      <w:r>
        <w:rPr>
          <w:rtl/>
        </w:rPr>
        <w:t>برای تعیین اهمیت نسبی معیارهای محیط‌زیستی از فرآیند تحلیل سلسله‌مراتبی (</w:t>
      </w:r>
      <w:r>
        <w:t>AHP</w:t>
      </w:r>
      <w:r>
        <w:rPr>
          <w:rtl/>
        </w:rPr>
        <w:t xml:space="preserve">) استفاده شد. در این روش، معیارها به‌صورت زوجی با یکدیگر مقایسه و اهمیت نسبی آنها بر اساس مقیاس 9 درجه‌ای </w:t>
      </w:r>
      <w:r>
        <w:t>Saaty</w:t>
      </w:r>
      <w:r>
        <w:rPr>
          <w:rtl/>
        </w:rPr>
        <w:t xml:space="preserve"> تعیین شد. برای تعیین اهمیت نسبی معیارهای محیطزیستی، پنل خبرگان شامل 16 نفر با تخصص و تجربه مرتبط با محیطزیست، معدن، منابع آب، اکولوژی، </w:t>
      </w:r>
      <w:r>
        <w:t>GIS</w:t>
      </w:r>
      <w:r>
        <w:rPr>
          <w:rtl/>
        </w:rPr>
        <w:t xml:space="preserve">، فرآوری مواد معدنی، </w:t>
      </w:r>
      <w:r>
        <w:t>HSE</w:t>
      </w:r>
      <w:r>
        <w:rPr>
          <w:rtl/>
        </w:rPr>
        <w:t xml:space="preserve">، منابع طبیعی، برنامه‌ریزی منطقه‌ای و حقوق و سیاست‌گذاری محیطزیست تشکیل شد. از میان اعضای پنل، 8 نفر دارای مدرک دکتری و 8 نفر دارای مدرک کارشناسی ارشد بودند. سابقه حرفه‌ای اعضا بین 10 تا 23 سال و میانگین آن 16.5 سال بود. اعضای پنل از دانشگاه‌ها، دستگاه‌های اجرایی، بخش معدن و صنعت و نهادهای مرتبط با مدیریت و برنامه‌ریزی انتخاب شدند. هر یک از خبرگان مقایسات زوجی معیارها را بر اساس مقیاس 9 درجه‌ای </w:t>
      </w:r>
      <w:r>
        <w:t>Saaty</w:t>
      </w:r>
      <w:r>
        <w:rPr>
          <w:rtl/>
        </w:rPr>
        <w:t xml:space="preserve"> انجام دادند و قضاوت‌های حاصل برای محاسبه وزن‌های نهایی معیارها در مدل </w:t>
      </w:r>
      <w:r>
        <w:t>AHP</w:t>
      </w:r>
      <w:r>
        <w:rPr>
          <w:rtl/>
        </w:rPr>
        <w:t xml:space="preserve"> به‌کار رفت.</w:t>
      </w:r>
    </w:p>
    <w:p w14:paraId="38A778A4" w14:textId="77777777" w:rsidR="009528ED" w:rsidRDefault="009528ED" w:rsidP="00772424">
      <w:pPr>
        <w:spacing w:after="40"/>
        <w:rPr>
          <w:rtl/>
        </w:rPr>
      </w:pPr>
      <w:r>
        <w:rPr>
          <w:rFonts w:hint="eastAsia"/>
          <w:rtl/>
        </w:rPr>
        <w:t>مقا</w:t>
      </w:r>
      <w:r>
        <w:rPr>
          <w:rFonts w:hint="cs"/>
          <w:rtl/>
        </w:rPr>
        <w:t>ی</w:t>
      </w:r>
      <w:r>
        <w:rPr>
          <w:rFonts w:hint="eastAsia"/>
          <w:rtl/>
        </w:rPr>
        <w:t>سات</w:t>
      </w:r>
      <w:r>
        <w:rPr>
          <w:rtl/>
        </w:rPr>
        <w:t xml:space="preserve"> زوج</w:t>
      </w:r>
      <w:r>
        <w:rPr>
          <w:rFonts w:hint="cs"/>
          <w:rtl/>
        </w:rPr>
        <w:t>ی</w:t>
      </w:r>
      <w:r>
        <w:rPr>
          <w:rtl/>
        </w:rPr>
        <w:t xml:space="preserve"> بر اساس قضاوت خبرگان انجام گرفت و پس از تشک</w:t>
      </w:r>
      <w:r>
        <w:rPr>
          <w:rFonts w:hint="cs"/>
          <w:rtl/>
        </w:rPr>
        <w:t>ی</w:t>
      </w:r>
      <w:r>
        <w:rPr>
          <w:rFonts w:hint="eastAsia"/>
          <w:rtl/>
        </w:rPr>
        <w:t>ل</w:t>
      </w:r>
      <w:r>
        <w:rPr>
          <w:rtl/>
        </w:rPr>
        <w:t xml:space="preserve"> ماتر</w:t>
      </w:r>
      <w:r>
        <w:rPr>
          <w:rFonts w:hint="cs"/>
          <w:rtl/>
        </w:rPr>
        <w:t>ی</w:t>
      </w:r>
      <w:r>
        <w:rPr>
          <w:rFonts w:hint="eastAsia"/>
          <w:rtl/>
        </w:rPr>
        <w:t>س</w:t>
      </w:r>
      <w:r>
        <w:rPr>
          <w:rtl/>
        </w:rPr>
        <w:t xml:space="preserve"> مقا</w:t>
      </w:r>
      <w:r>
        <w:rPr>
          <w:rFonts w:hint="cs"/>
          <w:rtl/>
        </w:rPr>
        <w:t>ی</w:t>
      </w:r>
      <w:r>
        <w:rPr>
          <w:rFonts w:hint="eastAsia"/>
          <w:rtl/>
        </w:rPr>
        <w:t>سات</w:t>
      </w:r>
      <w:r>
        <w:rPr>
          <w:rtl/>
        </w:rPr>
        <w:t xml:space="preserve"> زوج</w:t>
      </w:r>
      <w:r>
        <w:rPr>
          <w:rFonts w:hint="cs"/>
          <w:rtl/>
        </w:rPr>
        <w:t>ی</w:t>
      </w:r>
      <w:r>
        <w:rPr>
          <w:rFonts w:hint="eastAsia"/>
          <w:rtl/>
        </w:rPr>
        <w:t>،</w:t>
      </w:r>
      <w:r>
        <w:rPr>
          <w:rtl/>
        </w:rPr>
        <w:t xml:space="preserve"> وزن نها</w:t>
      </w:r>
      <w:r>
        <w:rPr>
          <w:rFonts w:hint="cs"/>
          <w:rtl/>
        </w:rPr>
        <w:t>یی</w:t>
      </w:r>
      <w:r>
        <w:rPr>
          <w:rtl/>
        </w:rPr>
        <w:t xml:space="preserve"> هر مع</w:t>
      </w:r>
      <w:r>
        <w:rPr>
          <w:rFonts w:hint="cs"/>
          <w:rtl/>
        </w:rPr>
        <w:t>ی</w:t>
      </w:r>
      <w:r>
        <w:rPr>
          <w:rFonts w:hint="eastAsia"/>
          <w:rtl/>
        </w:rPr>
        <w:t>ار</w:t>
      </w:r>
      <w:r>
        <w:rPr>
          <w:rtl/>
        </w:rPr>
        <w:t xml:space="preserve"> محاسبه شد. نتا</w:t>
      </w:r>
      <w:r>
        <w:rPr>
          <w:rFonts w:hint="cs"/>
          <w:rtl/>
        </w:rPr>
        <w:t>ی</w:t>
      </w:r>
      <w:r>
        <w:rPr>
          <w:rFonts w:hint="eastAsia"/>
          <w:rtl/>
        </w:rPr>
        <w:t>ج</w:t>
      </w:r>
      <w:r>
        <w:rPr>
          <w:rtl/>
        </w:rPr>
        <w:t xml:space="preserve"> نشان داد که فاصله از منابع آب با وزن </w:t>
      </w:r>
      <w:r w:rsidR="00772424">
        <w:rPr>
          <w:rFonts w:hint="cs"/>
          <w:rtl/>
        </w:rPr>
        <w:t>2</w:t>
      </w:r>
      <w:r>
        <w:rPr>
          <w:rFonts w:hint="cs"/>
          <w:rtl/>
        </w:rPr>
        <w:t>43/0</w:t>
      </w:r>
      <w:r>
        <w:rPr>
          <w:rtl/>
        </w:rPr>
        <w:t xml:space="preserve"> ب</w:t>
      </w:r>
      <w:r>
        <w:rPr>
          <w:rFonts w:hint="cs"/>
          <w:rtl/>
        </w:rPr>
        <w:t>ی</w:t>
      </w:r>
      <w:r>
        <w:rPr>
          <w:rFonts w:hint="eastAsia"/>
          <w:rtl/>
        </w:rPr>
        <w:t>شتر</w:t>
      </w:r>
      <w:r>
        <w:rPr>
          <w:rFonts w:hint="cs"/>
          <w:rtl/>
        </w:rPr>
        <w:t>ی</w:t>
      </w:r>
      <w:r>
        <w:rPr>
          <w:rFonts w:hint="eastAsia"/>
          <w:rtl/>
        </w:rPr>
        <w:t>ن</w:t>
      </w:r>
      <w:r>
        <w:rPr>
          <w:rtl/>
        </w:rPr>
        <w:t xml:space="preserve"> اهم</w:t>
      </w:r>
      <w:r>
        <w:rPr>
          <w:rFonts w:hint="cs"/>
          <w:rtl/>
        </w:rPr>
        <w:t>ی</w:t>
      </w:r>
      <w:r>
        <w:rPr>
          <w:rFonts w:hint="eastAsia"/>
          <w:rtl/>
        </w:rPr>
        <w:t>ت</w:t>
      </w:r>
      <w:r>
        <w:rPr>
          <w:rtl/>
        </w:rPr>
        <w:t xml:space="preserve"> را در مدل دارد. پس از آن، پوشش و کاربر</w:t>
      </w:r>
      <w:r>
        <w:rPr>
          <w:rFonts w:hint="cs"/>
          <w:rtl/>
        </w:rPr>
        <w:t>ی</w:t>
      </w:r>
      <w:r>
        <w:rPr>
          <w:rtl/>
        </w:rPr>
        <w:t xml:space="preserve"> اراض</w:t>
      </w:r>
      <w:r>
        <w:rPr>
          <w:rFonts w:hint="cs"/>
          <w:rtl/>
        </w:rPr>
        <w:t>ی</w:t>
      </w:r>
      <w:r>
        <w:rPr>
          <w:rtl/>
        </w:rPr>
        <w:t xml:space="preserve"> با وزن </w:t>
      </w:r>
      <w:r>
        <w:rPr>
          <w:rFonts w:hint="cs"/>
          <w:rtl/>
        </w:rPr>
        <w:t>189/0</w:t>
      </w:r>
      <w:r>
        <w:rPr>
          <w:rtl/>
        </w:rPr>
        <w:t xml:space="preserve"> و فاصله از آبراهه‌ها با </w:t>
      </w:r>
      <w:r>
        <w:rPr>
          <w:rFonts w:hint="eastAsia"/>
          <w:rtl/>
        </w:rPr>
        <w:t>وزن</w:t>
      </w:r>
      <w:r>
        <w:rPr>
          <w:rtl/>
        </w:rPr>
        <w:t xml:space="preserve"> </w:t>
      </w:r>
      <w:r>
        <w:rPr>
          <w:rFonts w:hint="cs"/>
          <w:rtl/>
        </w:rPr>
        <w:t>147/0</w:t>
      </w:r>
      <w:r>
        <w:rPr>
          <w:rtl/>
        </w:rPr>
        <w:t xml:space="preserve"> قرار گرفتند. وزن سا</w:t>
      </w:r>
      <w:r>
        <w:rPr>
          <w:rFonts w:hint="cs"/>
          <w:rtl/>
        </w:rPr>
        <w:t>ی</w:t>
      </w:r>
      <w:r>
        <w:rPr>
          <w:rFonts w:hint="eastAsia"/>
          <w:rtl/>
        </w:rPr>
        <w:t>ر</w:t>
      </w:r>
      <w:r>
        <w:rPr>
          <w:rtl/>
        </w:rPr>
        <w:t xml:space="preserve"> مع</w:t>
      </w:r>
      <w:r>
        <w:rPr>
          <w:rFonts w:hint="cs"/>
          <w:rtl/>
        </w:rPr>
        <w:t>ی</w:t>
      </w:r>
      <w:r>
        <w:rPr>
          <w:rFonts w:hint="eastAsia"/>
          <w:rtl/>
        </w:rPr>
        <w:t>ارها</w:t>
      </w:r>
      <w:r>
        <w:rPr>
          <w:rtl/>
        </w:rPr>
        <w:t xml:space="preserve"> ن</w:t>
      </w:r>
      <w:r>
        <w:rPr>
          <w:rFonts w:hint="cs"/>
          <w:rtl/>
        </w:rPr>
        <w:t>ی</w:t>
      </w:r>
      <w:r>
        <w:rPr>
          <w:rFonts w:hint="eastAsia"/>
          <w:rtl/>
        </w:rPr>
        <w:t>ز</w:t>
      </w:r>
      <w:r>
        <w:rPr>
          <w:rtl/>
        </w:rPr>
        <w:t xml:space="preserve"> به‌ترت</w:t>
      </w:r>
      <w:r>
        <w:rPr>
          <w:rFonts w:hint="cs"/>
          <w:rtl/>
        </w:rPr>
        <w:t>ی</w:t>
      </w:r>
      <w:r>
        <w:rPr>
          <w:rFonts w:hint="eastAsia"/>
          <w:rtl/>
        </w:rPr>
        <w:t>ب</w:t>
      </w:r>
      <w:r>
        <w:rPr>
          <w:rtl/>
        </w:rPr>
        <w:t xml:space="preserve"> برا</w:t>
      </w:r>
      <w:r>
        <w:rPr>
          <w:rFonts w:hint="cs"/>
          <w:rtl/>
        </w:rPr>
        <w:t>ی</w:t>
      </w:r>
      <w:r>
        <w:rPr>
          <w:rtl/>
        </w:rPr>
        <w:t xml:space="preserve"> فاصله از سکونتگاه‌ها </w:t>
      </w:r>
      <w:r>
        <w:rPr>
          <w:rFonts w:hint="cs"/>
          <w:rtl/>
        </w:rPr>
        <w:t>124/0</w:t>
      </w:r>
      <w:r>
        <w:rPr>
          <w:rtl/>
        </w:rPr>
        <w:t xml:space="preserve">، فاصله از شبکه راه‌ها </w:t>
      </w:r>
      <w:r>
        <w:rPr>
          <w:rFonts w:hint="cs"/>
          <w:rtl/>
        </w:rPr>
        <w:t>106/0</w:t>
      </w:r>
      <w:r>
        <w:rPr>
          <w:rtl/>
        </w:rPr>
        <w:t>، ش</w:t>
      </w:r>
      <w:r>
        <w:rPr>
          <w:rFonts w:hint="cs"/>
          <w:rtl/>
        </w:rPr>
        <w:t>ی</w:t>
      </w:r>
      <w:r>
        <w:rPr>
          <w:rFonts w:hint="eastAsia"/>
          <w:rtl/>
        </w:rPr>
        <w:t>ب</w:t>
      </w:r>
      <w:r>
        <w:rPr>
          <w:rtl/>
        </w:rPr>
        <w:t xml:space="preserve"> </w:t>
      </w:r>
      <w:r>
        <w:rPr>
          <w:rFonts w:hint="cs"/>
          <w:rtl/>
        </w:rPr>
        <w:t>098/0</w:t>
      </w:r>
      <w:r>
        <w:rPr>
          <w:rtl/>
        </w:rPr>
        <w:t xml:space="preserve"> و فاصله از مناطق حفاظت‌شده </w:t>
      </w:r>
      <w:r>
        <w:rPr>
          <w:rFonts w:hint="cs"/>
          <w:rtl/>
        </w:rPr>
        <w:t>093/0</w:t>
      </w:r>
      <w:r>
        <w:rPr>
          <w:rtl/>
        </w:rPr>
        <w:t xml:space="preserve"> به دست آمد. مجموع وزن‌ها برابر با </w:t>
      </w:r>
      <w:r>
        <w:rPr>
          <w:rFonts w:hint="cs"/>
          <w:rtl/>
        </w:rPr>
        <w:t>000/1</w:t>
      </w:r>
      <w:r>
        <w:rPr>
          <w:rtl/>
        </w:rPr>
        <w:t xml:space="preserve"> است. </w:t>
      </w:r>
    </w:p>
    <w:tbl>
      <w:tblPr>
        <w:tblStyle w:val="TableGrid"/>
        <w:bidiVisual/>
        <w:tblW w:w="5000" w:type="pct"/>
        <w:tblLook w:val="04A0" w:firstRow="1" w:lastRow="0" w:firstColumn="1" w:lastColumn="0" w:noHBand="0" w:noVBand="1"/>
      </w:tblPr>
      <w:tblGrid>
        <w:gridCol w:w="1791"/>
        <w:gridCol w:w="4848"/>
        <w:gridCol w:w="2423"/>
      </w:tblGrid>
      <w:tr w:rsidR="00CE10BB" w14:paraId="2D3DA871" w14:textId="77777777" w:rsidTr="00CE10BB">
        <w:tc>
          <w:tcPr>
            <w:tcW w:w="5000" w:type="pct"/>
            <w:gridSpan w:val="3"/>
          </w:tcPr>
          <w:p w14:paraId="0BCC0738" w14:textId="77777777" w:rsidR="00CE10BB" w:rsidRPr="00B71118" w:rsidRDefault="00CE10BB" w:rsidP="00CE10BB">
            <w:pPr>
              <w:ind w:firstLine="0"/>
              <w:rPr>
                <w:sz w:val="16"/>
                <w:szCs w:val="22"/>
                <w:rtl/>
              </w:rPr>
            </w:pPr>
            <w:r w:rsidRPr="00B71118">
              <w:rPr>
                <w:sz w:val="16"/>
                <w:szCs w:val="22"/>
                <w:rtl/>
              </w:rPr>
              <w:t>جدول 2</w:t>
            </w:r>
            <w:r w:rsidR="00FD6CD7" w:rsidRPr="00B71118">
              <w:rPr>
                <w:rFonts w:hint="cs"/>
                <w:sz w:val="16"/>
                <w:szCs w:val="22"/>
                <w:rtl/>
              </w:rPr>
              <w:t>-</w:t>
            </w:r>
            <w:r w:rsidRPr="00B71118">
              <w:rPr>
                <w:sz w:val="16"/>
                <w:szCs w:val="22"/>
                <w:rtl/>
              </w:rPr>
              <w:t xml:space="preserve"> ماتریس نهایی وزن معیارهای محیط‌زیستی و نرخ ناسازگاری</w:t>
            </w:r>
          </w:p>
        </w:tc>
      </w:tr>
      <w:tr w:rsidR="00CE10BB" w14:paraId="3FBD738F" w14:textId="77777777" w:rsidTr="00CE10BB">
        <w:tc>
          <w:tcPr>
            <w:tcW w:w="5000" w:type="pct"/>
            <w:gridSpan w:val="3"/>
          </w:tcPr>
          <w:p w14:paraId="3173BA43" w14:textId="77777777" w:rsidR="00CE10BB" w:rsidRPr="00147740" w:rsidRDefault="00CE10BB" w:rsidP="00CE10BB">
            <w:pPr>
              <w:bidi w:val="0"/>
              <w:rPr>
                <w:rtl/>
              </w:rPr>
            </w:pPr>
            <w:r w:rsidRPr="00147740">
              <w:rPr>
                <w:sz w:val="19"/>
              </w:rPr>
              <w:t>Table 2</w:t>
            </w:r>
            <w:r w:rsidR="00FD6CD7">
              <w:rPr>
                <w:rFonts w:hint="cs"/>
                <w:sz w:val="19"/>
                <w:rtl/>
              </w:rPr>
              <w:t>-</w:t>
            </w:r>
            <w:r w:rsidRPr="00147740">
              <w:rPr>
                <w:sz w:val="19"/>
              </w:rPr>
              <w:t xml:space="preserve"> Final weighting matrix of environmental criteria and consistency ratio</w:t>
            </w:r>
          </w:p>
        </w:tc>
      </w:tr>
      <w:tr w:rsidR="00CE10BB" w14:paraId="2950DA57" w14:textId="77777777" w:rsidTr="00CE10BB">
        <w:tc>
          <w:tcPr>
            <w:tcW w:w="988" w:type="pct"/>
          </w:tcPr>
          <w:p w14:paraId="6206F8E8" w14:textId="77777777" w:rsidR="00CE10BB" w:rsidRDefault="00CE10BB" w:rsidP="00CE10BB">
            <w:pPr>
              <w:bidi w:val="0"/>
              <w:jc w:val="center"/>
              <w:rPr>
                <w:b/>
                <w:bCs/>
                <w:lang w:bidi="fa-IR"/>
              </w:rPr>
            </w:pPr>
            <w:r>
              <w:rPr>
                <w:b/>
                <w:bCs/>
                <w:sz w:val="19"/>
                <w:rtl/>
              </w:rPr>
              <w:t>ردیف</w:t>
            </w:r>
          </w:p>
        </w:tc>
        <w:tc>
          <w:tcPr>
            <w:tcW w:w="2675" w:type="pct"/>
          </w:tcPr>
          <w:p w14:paraId="4087D2D1" w14:textId="77777777" w:rsidR="00CE10BB" w:rsidRDefault="00CE10BB" w:rsidP="00CE10BB">
            <w:pPr>
              <w:bidi w:val="0"/>
              <w:jc w:val="center"/>
              <w:rPr>
                <w:b/>
                <w:bCs/>
              </w:rPr>
            </w:pPr>
            <w:r>
              <w:rPr>
                <w:b/>
                <w:bCs/>
                <w:sz w:val="19"/>
                <w:rtl/>
              </w:rPr>
              <w:t>معیار محیط‌زیستی</w:t>
            </w:r>
          </w:p>
        </w:tc>
        <w:tc>
          <w:tcPr>
            <w:tcW w:w="1337" w:type="pct"/>
          </w:tcPr>
          <w:p w14:paraId="35AF8367" w14:textId="77777777" w:rsidR="00CE10BB" w:rsidRDefault="00CE10BB" w:rsidP="00CE10BB">
            <w:pPr>
              <w:bidi w:val="0"/>
              <w:jc w:val="center"/>
              <w:rPr>
                <w:b/>
                <w:bCs/>
              </w:rPr>
            </w:pPr>
            <w:r>
              <w:rPr>
                <w:b/>
                <w:bCs/>
                <w:sz w:val="19"/>
                <w:rtl/>
              </w:rPr>
              <w:t>وزن نهایی</w:t>
            </w:r>
          </w:p>
        </w:tc>
      </w:tr>
      <w:tr w:rsidR="00CE10BB" w14:paraId="33337C6E" w14:textId="77777777" w:rsidTr="00CE10BB">
        <w:tc>
          <w:tcPr>
            <w:tcW w:w="988" w:type="pct"/>
          </w:tcPr>
          <w:p w14:paraId="1DD4FFDE" w14:textId="77777777" w:rsidR="00CE10BB" w:rsidRDefault="00CE10BB" w:rsidP="00772424">
            <w:pPr>
              <w:bidi w:val="0"/>
              <w:jc w:val="center"/>
            </w:pPr>
            <w:r>
              <w:rPr>
                <w:sz w:val="19"/>
                <w:rtl/>
              </w:rPr>
              <w:t>1</w:t>
            </w:r>
          </w:p>
        </w:tc>
        <w:tc>
          <w:tcPr>
            <w:tcW w:w="2675" w:type="pct"/>
          </w:tcPr>
          <w:p w14:paraId="0F68AD56" w14:textId="77777777" w:rsidR="00CE10BB" w:rsidRDefault="00CE10BB" w:rsidP="00772424">
            <w:pPr>
              <w:bidi w:val="0"/>
              <w:jc w:val="center"/>
            </w:pPr>
            <w:r>
              <w:rPr>
                <w:sz w:val="19"/>
                <w:rtl/>
              </w:rPr>
              <w:t>فاصله از منابع آب</w:t>
            </w:r>
          </w:p>
        </w:tc>
        <w:tc>
          <w:tcPr>
            <w:tcW w:w="1337" w:type="pct"/>
          </w:tcPr>
          <w:p w14:paraId="3DCE6CDF" w14:textId="77777777" w:rsidR="00CE10BB" w:rsidRDefault="00CE10BB" w:rsidP="00772424">
            <w:pPr>
              <w:bidi w:val="0"/>
              <w:jc w:val="center"/>
              <w:rPr>
                <w:rtl/>
              </w:rPr>
            </w:pPr>
            <w:r>
              <w:rPr>
                <w:rFonts w:hint="cs"/>
                <w:sz w:val="19"/>
                <w:rtl/>
              </w:rPr>
              <w:t>243/0</w:t>
            </w:r>
          </w:p>
        </w:tc>
      </w:tr>
      <w:tr w:rsidR="00CE10BB" w14:paraId="176693E8" w14:textId="77777777" w:rsidTr="00CE10BB">
        <w:tc>
          <w:tcPr>
            <w:tcW w:w="988" w:type="pct"/>
          </w:tcPr>
          <w:p w14:paraId="5939647F" w14:textId="77777777" w:rsidR="00CE10BB" w:rsidRDefault="00CE10BB" w:rsidP="00772424">
            <w:pPr>
              <w:bidi w:val="0"/>
              <w:jc w:val="center"/>
              <w:rPr>
                <w:rtl/>
              </w:rPr>
            </w:pPr>
            <w:r>
              <w:rPr>
                <w:sz w:val="19"/>
                <w:rtl/>
              </w:rPr>
              <w:t>2</w:t>
            </w:r>
          </w:p>
        </w:tc>
        <w:tc>
          <w:tcPr>
            <w:tcW w:w="2675" w:type="pct"/>
          </w:tcPr>
          <w:p w14:paraId="09D1427E" w14:textId="77777777" w:rsidR="00CE10BB" w:rsidRDefault="00CE10BB" w:rsidP="00772424">
            <w:pPr>
              <w:bidi w:val="0"/>
              <w:jc w:val="center"/>
            </w:pPr>
            <w:r>
              <w:rPr>
                <w:sz w:val="19"/>
                <w:rtl/>
              </w:rPr>
              <w:t>پوشش و کاربری اراضی</w:t>
            </w:r>
          </w:p>
        </w:tc>
        <w:tc>
          <w:tcPr>
            <w:tcW w:w="1337" w:type="pct"/>
          </w:tcPr>
          <w:p w14:paraId="3BF093E5" w14:textId="77777777" w:rsidR="00CE10BB" w:rsidRDefault="00CE10BB" w:rsidP="00772424">
            <w:pPr>
              <w:bidi w:val="0"/>
              <w:jc w:val="center"/>
            </w:pPr>
            <w:r>
              <w:rPr>
                <w:rFonts w:hint="cs"/>
                <w:sz w:val="19"/>
                <w:rtl/>
              </w:rPr>
              <w:t>189/0</w:t>
            </w:r>
          </w:p>
        </w:tc>
      </w:tr>
      <w:tr w:rsidR="00CE10BB" w14:paraId="2A87C775" w14:textId="77777777" w:rsidTr="00CE10BB">
        <w:tc>
          <w:tcPr>
            <w:tcW w:w="988" w:type="pct"/>
          </w:tcPr>
          <w:p w14:paraId="5544EB58" w14:textId="77777777" w:rsidR="00CE10BB" w:rsidRDefault="00CE10BB" w:rsidP="00772424">
            <w:pPr>
              <w:bidi w:val="0"/>
              <w:jc w:val="center"/>
              <w:rPr>
                <w:rtl/>
              </w:rPr>
            </w:pPr>
            <w:r>
              <w:rPr>
                <w:sz w:val="19"/>
                <w:rtl/>
              </w:rPr>
              <w:t>3</w:t>
            </w:r>
          </w:p>
        </w:tc>
        <w:tc>
          <w:tcPr>
            <w:tcW w:w="2675" w:type="pct"/>
          </w:tcPr>
          <w:p w14:paraId="5005746C" w14:textId="77777777" w:rsidR="00CE10BB" w:rsidRDefault="00CE10BB" w:rsidP="00772424">
            <w:pPr>
              <w:bidi w:val="0"/>
              <w:jc w:val="center"/>
            </w:pPr>
            <w:r>
              <w:rPr>
                <w:sz w:val="19"/>
                <w:rtl/>
              </w:rPr>
              <w:t>فاصله از آبراهه‌ها</w:t>
            </w:r>
          </w:p>
        </w:tc>
        <w:tc>
          <w:tcPr>
            <w:tcW w:w="1337" w:type="pct"/>
          </w:tcPr>
          <w:p w14:paraId="7C502AD2" w14:textId="77777777" w:rsidR="00CE10BB" w:rsidRDefault="00CE10BB" w:rsidP="00772424">
            <w:pPr>
              <w:bidi w:val="0"/>
              <w:jc w:val="center"/>
              <w:rPr>
                <w:rtl/>
              </w:rPr>
            </w:pPr>
            <w:r>
              <w:rPr>
                <w:rFonts w:hint="cs"/>
                <w:sz w:val="19"/>
                <w:rtl/>
              </w:rPr>
              <w:t>147/0</w:t>
            </w:r>
          </w:p>
        </w:tc>
      </w:tr>
      <w:tr w:rsidR="00CE10BB" w14:paraId="4E9DCC67" w14:textId="77777777" w:rsidTr="00CE10BB">
        <w:tc>
          <w:tcPr>
            <w:tcW w:w="988" w:type="pct"/>
          </w:tcPr>
          <w:p w14:paraId="35FB8F13" w14:textId="77777777" w:rsidR="00CE10BB" w:rsidRDefault="00CE10BB" w:rsidP="00772424">
            <w:pPr>
              <w:bidi w:val="0"/>
              <w:jc w:val="center"/>
              <w:rPr>
                <w:rtl/>
              </w:rPr>
            </w:pPr>
            <w:r>
              <w:rPr>
                <w:sz w:val="19"/>
                <w:rtl/>
              </w:rPr>
              <w:t>4</w:t>
            </w:r>
          </w:p>
        </w:tc>
        <w:tc>
          <w:tcPr>
            <w:tcW w:w="2675" w:type="pct"/>
          </w:tcPr>
          <w:p w14:paraId="0EAC8EE4" w14:textId="77777777" w:rsidR="00CE10BB" w:rsidRDefault="00CE10BB" w:rsidP="00772424">
            <w:pPr>
              <w:bidi w:val="0"/>
              <w:jc w:val="center"/>
            </w:pPr>
            <w:r>
              <w:rPr>
                <w:sz w:val="19"/>
                <w:rtl/>
              </w:rPr>
              <w:t>فاصله از سکونتگاه‌ها</w:t>
            </w:r>
          </w:p>
        </w:tc>
        <w:tc>
          <w:tcPr>
            <w:tcW w:w="1337" w:type="pct"/>
          </w:tcPr>
          <w:p w14:paraId="0CF28325" w14:textId="77777777" w:rsidR="00CE10BB" w:rsidRDefault="00CE10BB" w:rsidP="00772424">
            <w:pPr>
              <w:bidi w:val="0"/>
              <w:jc w:val="center"/>
              <w:rPr>
                <w:rtl/>
              </w:rPr>
            </w:pPr>
            <w:r>
              <w:rPr>
                <w:rFonts w:hint="cs"/>
                <w:sz w:val="19"/>
                <w:rtl/>
              </w:rPr>
              <w:t>124/0</w:t>
            </w:r>
          </w:p>
        </w:tc>
      </w:tr>
      <w:tr w:rsidR="00CE10BB" w14:paraId="4156A8B1" w14:textId="77777777" w:rsidTr="00CE10BB">
        <w:tc>
          <w:tcPr>
            <w:tcW w:w="988" w:type="pct"/>
          </w:tcPr>
          <w:p w14:paraId="16B75A78" w14:textId="77777777" w:rsidR="00CE10BB" w:rsidRDefault="00CE10BB" w:rsidP="00772424">
            <w:pPr>
              <w:bidi w:val="0"/>
              <w:jc w:val="center"/>
              <w:rPr>
                <w:rtl/>
              </w:rPr>
            </w:pPr>
            <w:r>
              <w:rPr>
                <w:sz w:val="19"/>
                <w:rtl/>
              </w:rPr>
              <w:t>5</w:t>
            </w:r>
          </w:p>
        </w:tc>
        <w:tc>
          <w:tcPr>
            <w:tcW w:w="2675" w:type="pct"/>
          </w:tcPr>
          <w:p w14:paraId="13167946" w14:textId="77777777" w:rsidR="00CE10BB" w:rsidRDefault="00CE10BB" w:rsidP="00772424">
            <w:pPr>
              <w:bidi w:val="0"/>
              <w:jc w:val="center"/>
            </w:pPr>
            <w:r>
              <w:rPr>
                <w:sz w:val="19"/>
                <w:rtl/>
              </w:rPr>
              <w:t>فاصله از شبکه راه‌ها</w:t>
            </w:r>
          </w:p>
        </w:tc>
        <w:tc>
          <w:tcPr>
            <w:tcW w:w="1337" w:type="pct"/>
          </w:tcPr>
          <w:p w14:paraId="60373770" w14:textId="77777777" w:rsidR="00CE10BB" w:rsidRDefault="00CE10BB" w:rsidP="00772424">
            <w:pPr>
              <w:bidi w:val="0"/>
              <w:jc w:val="center"/>
              <w:rPr>
                <w:rtl/>
              </w:rPr>
            </w:pPr>
            <w:r>
              <w:rPr>
                <w:rFonts w:hint="cs"/>
                <w:sz w:val="19"/>
                <w:rtl/>
              </w:rPr>
              <w:t>106/0</w:t>
            </w:r>
          </w:p>
        </w:tc>
      </w:tr>
      <w:tr w:rsidR="00CE10BB" w14:paraId="496994F8" w14:textId="77777777" w:rsidTr="00CE10BB">
        <w:tc>
          <w:tcPr>
            <w:tcW w:w="988" w:type="pct"/>
          </w:tcPr>
          <w:p w14:paraId="34926272" w14:textId="77777777" w:rsidR="00CE10BB" w:rsidRDefault="00CE10BB" w:rsidP="00772424">
            <w:pPr>
              <w:bidi w:val="0"/>
              <w:jc w:val="center"/>
              <w:rPr>
                <w:rtl/>
              </w:rPr>
            </w:pPr>
            <w:r>
              <w:rPr>
                <w:sz w:val="19"/>
                <w:rtl/>
              </w:rPr>
              <w:lastRenderedPageBreak/>
              <w:t>6</w:t>
            </w:r>
          </w:p>
        </w:tc>
        <w:tc>
          <w:tcPr>
            <w:tcW w:w="2675" w:type="pct"/>
          </w:tcPr>
          <w:p w14:paraId="6ED78894" w14:textId="77777777" w:rsidR="00CE10BB" w:rsidRDefault="00CE10BB" w:rsidP="00772424">
            <w:pPr>
              <w:bidi w:val="0"/>
              <w:jc w:val="center"/>
            </w:pPr>
            <w:r>
              <w:rPr>
                <w:sz w:val="19"/>
                <w:rtl/>
              </w:rPr>
              <w:t>شیب</w:t>
            </w:r>
          </w:p>
        </w:tc>
        <w:tc>
          <w:tcPr>
            <w:tcW w:w="1337" w:type="pct"/>
          </w:tcPr>
          <w:p w14:paraId="5D9F7573" w14:textId="77777777" w:rsidR="00CE10BB" w:rsidRDefault="00CE10BB" w:rsidP="00772424">
            <w:pPr>
              <w:bidi w:val="0"/>
              <w:jc w:val="center"/>
              <w:rPr>
                <w:rtl/>
              </w:rPr>
            </w:pPr>
            <w:r>
              <w:rPr>
                <w:rFonts w:hint="cs"/>
                <w:sz w:val="19"/>
                <w:rtl/>
              </w:rPr>
              <w:t>098/0</w:t>
            </w:r>
          </w:p>
        </w:tc>
      </w:tr>
      <w:tr w:rsidR="00CE10BB" w14:paraId="6C123571" w14:textId="77777777" w:rsidTr="00CE10BB">
        <w:tc>
          <w:tcPr>
            <w:tcW w:w="988" w:type="pct"/>
          </w:tcPr>
          <w:p w14:paraId="7284BFEA" w14:textId="77777777" w:rsidR="00CE10BB" w:rsidRDefault="00CE10BB" w:rsidP="00772424">
            <w:pPr>
              <w:bidi w:val="0"/>
              <w:jc w:val="center"/>
              <w:rPr>
                <w:rtl/>
              </w:rPr>
            </w:pPr>
            <w:r>
              <w:rPr>
                <w:sz w:val="19"/>
                <w:rtl/>
              </w:rPr>
              <w:t>7</w:t>
            </w:r>
          </w:p>
        </w:tc>
        <w:tc>
          <w:tcPr>
            <w:tcW w:w="2675" w:type="pct"/>
          </w:tcPr>
          <w:p w14:paraId="69C35B55" w14:textId="77777777" w:rsidR="00CE10BB" w:rsidRDefault="00CE10BB" w:rsidP="00772424">
            <w:pPr>
              <w:bidi w:val="0"/>
              <w:jc w:val="center"/>
            </w:pPr>
            <w:r>
              <w:rPr>
                <w:sz w:val="19"/>
                <w:rtl/>
              </w:rPr>
              <w:t>فاصله از مناطق حفاظت‌شده</w:t>
            </w:r>
          </w:p>
        </w:tc>
        <w:tc>
          <w:tcPr>
            <w:tcW w:w="1337" w:type="pct"/>
          </w:tcPr>
          <w:p w14:paraId="0693B84E" w14:textId="77777777" w:rsidR="00CE10BB" w:rsidRDefault="00CE10BB" w:rsidP="00772424">
            <w:pPr>
              <w:bidi w:val="0"/>
              <w:jc w:val="center"/>
              <w:rPr>
                <w:rtl/>
              </w:rPr>
            </w:pPr>
            <w:r>
              <w:rPr>
                <w:rFonts w:hint="cs"/>
                <w:sz w:val="19"/>
                <w:rtl/>
              </w:rPr>
              <w:t>093/0</w:t>
            </w:r>
          </w:p>
        </w:tc>
      </w:tr>
      <w:tr w:rsidR="00CE10BB" w14:paraId="4E26BB09" w14:textId="77777777" w:rsidTr="00CE10BB">
        <w:tc>
          <w:tcPr>
            <w:tcW w:w="988" w:type="pct"/>
          </w:tcPr>
          <w:p w14:paraId="1199173B" w14:textId="77777777" w:rsidR="00CE10BB" w:rsidRDefault="00CE10BB" w:rsidP="00772424">
            <w:pPr>
              <w:bidi w:val="0"/>
              <w:jc w:val="center"/>
            </w:pPr>
            <w:r>
              <w:rPr>
                <w:sz w:val="19"/>
                <w:rtl/>
              </w:rPr>
              <w:t>جمع</w:t>
            </w:r>
          </w:p>
        </w:tc>
        <w:tc>
          <w:tcPr>
            <w:tcW w:w="2675" w:type="pct"/>
          </w:tcPr>
          <w:p w14:paraId="391CEA8E" w14:textId="77777777" w:rsidR="00CE10BB" w:rsidRDefault="00CE10BB" w:rsidP="00CE10BB"/>
        </w:tc>
        <w:tc>
          <w:tcPr>
            <w:tcW w:w="1337" w:type="pct"/>
          </w:tcPr>
          <w:p w14:paraId="255F254D" w14:textId="77777777" w:rsidR="00CE10BB" w:rsidRDefault="00CE10BB" w:rsidP="00772424">
            <w:pPr>
              <w:bidi w:val="0"/>
              <w:jc w:val="center"/>
              <w:rPr>
                <w:sz w:val="24"/>
                <w:szCs w:val="24"/>
                <w:rtl/>
              </w:rPr>
            </w:pPr>
            <w:r>
              <w:rPr>
                <w:sz w:val="19"/>
                <w:rtl/>
              </w:rPr>
              <w:t>000</w:t>
            </w:r>
            <w:r>
              <w:rPr>
                <w:rFonts w:hint="cs"/>
                <w:sz w:val="19"/>
                <w:rtl/>
              </w:rPr>
              <w:t>/1</w:t>
            </w:r>
          </w:p>
        </w:tc>
      </w:tr>
      <w:tr w:rsidR="00CE10BB" w14:paraId="0600E9CD" w14:textId="77777777" w:rsidTr="00CE10BB">
        <w:tc>
          <w:tcPr>
            <w:tcW w:w="5000" w:type="pct"/>
            <w:gridSpan w:val="3"/>
          </w:tcPr>
          <w:p w14:paraId="3EE22DB9" w14:textId="77777777" w:rsidR="00CE10BB" w:rsidRDefault="00CE10BB" w:rsidP="00CE10BB">
            <w:pPr>
              <w:bidi w:val="0"/>
            </w:pPr>
            <w:r w:rsidRPr="00FD6CD7">
              <w:rPr>
                <w:rFonts w:asciiTheme="majorBidi" w:hAnsiTheme="majorBidi" w:cstheme="majorBidi"/>
                <w:sz w:val="19"/>
                <w:szCs w:val="22"/>
                <w:rtl/>
              </w:rPr>
              <w:t>CR</w:t>
            </w:r>
            <w:r w:rsidRPr="00147740">
              <w:rPr>
                <w:sz w:val="19"/>
                <w:szCs w:val="22"/>
                <w:rtl/>
              </w:rPr>
              <w:t>=</w:t>
            </w:r>
            <w:r>
              <w:rPr>
                <w:sz w:val="19"/>
                <w:rtl/>
              </w:rPr>
              <w:t>0/08</w:t>
            </w:r>
            <w:r w:rsidRPr="00462C54">
              <w:rPr>
                <w:sz w:val="19"/>
                <w:rtl/>
              </w:rPr>
              <w:t xml:space="preserve"> نرخ ناسازگاری</w:t>
            </w:r>
          </w:p>
        </w:tc>
      </w:tr>
    </w:tbl>
    <w:p w14:paraId="6C161DE9" w14:textId="77777777" w:rsidR="00462C54" w:rsidRPr="00462C54" w:rsidRDefault="00462C54" w:rsidP="00CE10BB">
      <w:pPr>
        <w:spacing w:after="40"/>
      </w:pPr>
      <w:r w:rsidRPr="00462C54">
        <w:rPr>
          <w:rtl/>
        </w:rPr>
        <w:t xml:space="preserve">مقدار </w:t>
      </w:r>
      <w:r w:rsidRPr="00FB51C2">
        <w:rPr>
          <w:rFonts w:asciiTheme="majorBidi" w:hAnsiTheme="majorBidi" w:cstheme="majorBidi"/>
          <w:sz w:val="18"/>
          <w:szCs w:val="22"/>
          <w:rtl/>
        </w:rPr>
        <w:t>CR</w:t>
      </w:r>
      <w:r w:rsidRPr="00CE10BB">
        <w:rPr>
          <w:sz w:val="18"/>
          <w:szCs w:val="22"/>
          <w:rtl/>
        </w:rPr>
        <w:t>=</w:t>
      </w:r>
      <w:r w:rsidRPr="00462C54">
        <w:rPr>
          <w:b/>
          <w:bCs/>
          <w:rtl/>
        </w:rPr>
        <w:t>0</w:t>
      </w:r>
      <w:r w:rsidR="00CE10BB">
        <w:rPr>
          <w:rFonts w:hint="cs"/>
          <w:b/>
          <w:bCs/>
          <w:rtl/>
        </w:rPr>
        <w:t>/</w:t>
      </w:r>
      <w:r w:rsidRPr="00462C54">
        <w:rPr>
          <w:b/>
          <w:bCs/>
          <w:rtl/>
        </w:rPr>
        <w:t>08</w:t>
      </w:r>
      <w:r w:rsidRPr="00462C54">
        <w:t xml:space="preserve"> </w:t>
      </w:r>
      <w:r w:rsidRPr="00462C54">
        <w:rPr>
          <w:rtl/>
        </w:rPr>
        <w:t xml:space="preserve">کمتر از آستانه متعارف </w:t>
      </w:r>
      <w:r w:rsidR="00CE10BB">
        <w:rPr>
          <w:rFonts w:hint="cs"/>
          <w:rtl/>
        </w:rPr>
        <w:t>10/0</w:t>
      </w:r>
      <w:r w:rsidRPr="00462C54">
        <w:rPr>
          <w:rtl/>
        </w:rPr>
        <w:t xml:space="preserve"> است؛ بنابراین، ماتریس مقایسات زوجی از سازگاری قابل قبول برخوردار است. با این حال، مقدار</w:t>
      </w:r>
      <w:r w:rsidRPr="00462C54">
        <w:t xml:space="preserve"> CR </w:t>
      </w:r>
      <w:r w:rsidRPr="00462C54">
        <w:rPr>
          <w:rtl/>
        </w:rPr>
        <w:t>صرفاً بیانگر سازگاری درونی قضاوت‌های زوجی است و به معنای حذف کامل عدم‌قطعیت موجود در فرآیند تصمیم‌گیری نیست</w:t>
      </w:r>
      <w:r w:rsidRPr="00462C54">
        <w:t xml:space="preserve">. </w:t>
      </w:r>
    </w:p>
    <w:p w14:paraId="27865594" w14:textId="77777777" w:rsidR="00462C54" w:rsidRPr="00B71118" w:rsidRDefault="00462C54" w:rsidP="00B71118">
      <w:pPr>
        <w:pStyle w:val="Heading2"/>
        <w:rPr>
          <w:b w:val="0"/>
          <w:bCs w:val="0"/>
        </w:rPr>
      </w:pPr>
      <w:r w:rsidRPr="00B71118">
        <w:rPr>
          <w:b w:val="0"/>
          <w:bCs w:val="0"/>
          <w:rtl/>
        </w:rPr>
        <w:t>تلفیق لایه‌ها و تولید شاخص تناسب محیط‌زیستی</w:t>
      </w:r>
    </w:p>
    <w:p w14:paraId="445EB044" w14:textId="77777777" w:rsidR="00B71118" w:rsidRDefault="00B71118" w:rsidP="00B71118">
      <w:pPr>
        <w:spacing w:after="40"/>
        <w:rPr>
          <w:rtl/>
        </w:rPr>
      </w:pPr>
      <w:r>
        <w:rPr>
          <w:rtl/>
        </w:rPr>
        <w:t>پس از استانداردساز</w:t>
      </w:r>
      <w:r>
        <w:rPr>
          <w:rFonts w:hint="cs"/>
          <w:rtl/>
        </w:rPr>
        <w:t>ی</w:t>
      </w:r>
      <w:r>
        <w:rPr>
          <w:rtl/>
        </w:rPr>
        <w:t xml:space="preserve"> لا</w:t>
      </w:r>
      <w:r>
        <w:rPr>
          <w:rFonts w:hint="cs"/>
          <w:rtl/>
        </w:rPr>
        <w:t>ی</w:t>
      </w:r>
      <w:r>
        <w:rPr>
          <w:rFonts w:hint="eastAsia"/>
          <w:rtl/>
        </w:rPr>
        <w:t>ه‌ها</w:t>
      </w:r>
      <w:r>
        <w:rPr>
          <w:rtl/>
        </w:rPr>
        <w:t xml:space="preserve"> و تع</w:t>
      </w:r>
      <w:r>
        <w:rPr>
          <w:rFonts w:hint="cs"/>
          <w:rtl/>
        </w:rPr>
        <w:t>یی</w:t>
      </w:r>
      <w:r>
        <w:rPr>
          <w:rFonts w:hint="eastAsia"/>
          <w:rtl/>
        </w:rPr>
        <w:t>ن</w:t>
      </w:r>
      <w:r>
        <w:rPr>
          <w:rtl/>
        </w:rPr>
        <w:t xml:space="preserve"> وزن مع</w:t>
      </w:r>
      <w:r>
        <w:rPr>
          <w:rFonts w:hint="cs"/>
          <w:rtl/>
        </w:rPr>
        <w:t>ی</w:t>
      </w:r>
      <w:r>
        <w:rPr>
          <w:rFonts w:hint="eastAsia"/>
          <w:rtl/>
        </w:rPr>
        <w:t>ارها،</w:t>
      </w:r>
      <w:r>
        <w:rPr>
          <w:rtl/>
        </w:rPr>
        <w:t xml:space="preserve"> لا</w:t>
      </w:r>
      <w:r>
        <w:rPr>
          <w:rFonts w:hint="cs"/>
          <w:rtl/>
        </w:rPr>
        <w:t>ی</w:t>
      </w:r>
      <w:r>
        <w:rPr>
          <w:rFonts w:hint="eastAsia"/>
          <w:rtl/>
        </w:rPr>
        <w:t>ه‌ها</w:t>
      </w:r>
      <w:r>
        <w:rPr>
          <w:rFonts w:hint="cs"/>
          <w:rtl/>
        </w:rPr>
        <w:t>ی</w:t>
      </w:r>
      <w:r>
        <w:rPr>
          <w:rtl/>
        </w:rPr>
        <w:t xml:space="preserve"> مکان</w:t>
      </w:r>
      <w:r>
        <w:rPr>
          <w:rFonts w:hint="cs"/>
          <w:rtl/>
        </w:rPr>
        <w:t>ی</w:t>
      </w:r>
      <w:r>
        <w:rPr>
          <w:rtl/>
        </w:rPr>
        <w:t xml:space="preserve"> با استفاده از روش</w:t>
      </w:r>
      <w:r>
        <w:t xml:space="preserve"> Weighted Overlay </w:t>
      </w:r>
      <w:r>
        <w:rPr>
          <w:rtl/>
        </w:rPr>
        <w:t>در مح</w:t>
      </w:r>
      <w:r>
        <w:rPr>
          <w:rFonts w:hint="cs"/>
          <w:rtl/>
        </w:rPr>
        <w:t>ی</w:t>
      </w:r>
      <w:r>
        <w:rPr>
          <w:rFonts w:hint="eastAsia"/>
          <w:rtl/>
        </w:rPr>
        <w:t>ط</w:t>
      </w:r>
      <w:r>
        <w:t xml:space="preserve"> ArcGIS Pro </w:t>
      </w:r>
      <w:r>
        <w:rPr>
          <w:rtl/>
        </w:rPr>
        <w:t>تلف</w:t>
      </w:r>
      <w:r>
        <w:rPr>
          <w:rFonts w:hint="cs"/>
          <w:rtl/>
        </w:rPr>
        <w:t>ی</w:t>
      </w:r>
      <w:r>
        <w:rPr>
          <w:rFonts w:hint="eastAsia"/>
          <w:rtl/>
        </w:rPr>
        <w:t>ق</w:t>
      </w:r>
      <w:r>
        <w:rPr>
          <w:rtl/>
        </w:rPr>
        <w:t xml:space="preserve"> شدند. هدف از ا</w:t>
      </w:r>
      <w:r>
        <w:rPr>
          <w:rFonts w:hint="cs"/>
          <w:rtl/>
        </w:rPr>
        <w:t>ی</w:t>
      </w:r>
      <w:r>
        <w:rPr>
          <w:rFonts w:hint="eastAsia"/>
          <w:rtl/>
        </w:rPr>
        <w:t>ن</w:t>
      </w:r>
      <w:r>
        <w:rPr>
          <w:rtl/>
        </w:rPr>
        <w:t xml:space="preserve"> مرحله، تبد</w:t>
      </w:r>
      <w:r>
        <w:rPr>
          <w:rFonts w:hint="cs"/>
          <w:rtl/>
        </w:rPr>
        <w:t>ی</w:t>
      </w:r>
      <w:r>
        <w:rPr>
          <w:rFonts w:hint="eastAsia"/>
          <w:rtl/>
        </w:rPr>
        <w:t>ل</w:t>
      </w:r>
      <w:r>
        <w:rPr>
          <w:rtl/>
        </w:rPr>
        <w:t xml:space="preserve"> مجموعه‌ا</w:t>
      </w:r>
      <w:r>
        <w:rPr>
          <w:rFonts w:hint="cs"/>
          <w:rtl/>
        </w:rPr>
        <w:t>ی</w:t>
      </w:r>
      <w:r>
        <w:rPr>
          <w:rtl/>
        </w:rPr>
        <w:t xml:space="preserve"> از مع</w:t>
      </w:r>
      <w:r>
        <w:rPr>
          <w:rFonts w:hint="cs"/>
          <w:rtl/>
        </w:rPr>
        <w:t>ی</w:t>
      </w:r>
      <w:r>
        <w:rPr>
          <w:rFonts w:hint="eastAsia"/>
          <w:rtl/>
        </w:rPr>
        <w:t>ارها</w:t>
      </w:r>
      <w:r>
        <w:rPr>
          <w:rFonts w:hint="cs"/>
          <w:rtl/>
        </w:rPr>
        <w:t>ی</w:t>
      </w:r>
      <w:r>
        <w:rPr>
          <w:rtl/>
        </w:rPr>
        <w:t xml:space="preserve"> ناهمگون مح</w:t>
      </w:r>
      <w:r>
        <w:rPr>
          <w:rFonts w:hint="cs"/>
          <w:rtl/>
        </w:rPr>
        <w:t>ی</w:t>
      </w:r>
      <w:r>
        <w:rPr>
          <w:rFonts w:hint="eastAsia"/>
          <w:rtl/>
        </w:rPr>
        <w:t>ط‌ز</w:t>
      </w:r>
      <w:r>
        <w:rPr>
          <w:rFonts w:hint="cs"/>
          <w:rtl/>
        </w:rPr>
        <w:t>ی</w:t>
      </w:r>
      <w:r>
        <w:rPr>
          <w:rFonts w:hint="eastAsia"/>
          <w:rtl/>
        </w:rPr>
        <w:t>ست</w:t>
      </w:r>
      <w:r>
        <w:rPr>
          <w:rFonts w:hint="cs"/>
          <w:rtl/>
        </w:rPr>
        <w:t>ی</w:t>
      </w:r>
      <w:r>
        <w:rPr>
          <w:rtl/>
        </w:rPr>
        <w:t xml:space="preserve"> به </w:t>
      </w:r>
      <w:r>
        <w:rPr>
          <w:rFonts w:hint="cs"/>
          <w:rtl/>
        </w:rPr>
        <w:t>ی</w:t>
      </w:r>
      <w:r>
        <w:rPr>
          <w:rFonts w:hint="eastAsia"/>
          <w:rtl/>
        </w:rPr>
        <w:t>ک</w:t>
      </w:r>
      <w:r>
        <w:rPr>
          <w:rtl/>
        </w:rPr>
        <w:t xml:space="preserve"> شاخص پ</w:t>
      </w:r>
      <w:r>
        <w:rPr>
          <w:rFonts w:hint="cs"/>
          <w:rtl/>
        </w:rPr>
        <w:t>ی</w:t>
      </w:r>
      <w:r>
        <w:rPr>
          <w:rFonts w:hint="eastAsia"/>
          <w:rtl/>
        </w:rPr>
        <w:t>وسته</w:t>
      </w:r>
      <w:r>
        <w:rPr>
          <w:rtl/>
        </w:rPr>
        <w:t xml:space="preserve"> و واحد برا</w:t>
      </w:r>
      <w:r>
        <w:rPr>
          <w:rFonts w:hint="cs"/>
          <w:rtl/>
        </w:rPr>
        <w:t>ی</w:t>
      </w:r>
      <w:r>
        <w:rPr>
          <w:rtl/>
        </w:rPr>
        <w:t xml:space="preserve"> ب</w:t>
      </w:r>
      <w:r>
        <w:rPr>
          <w:rFonts w:hint="cs"/>
          <w:rtl/>
        </w:rPr>
        <w:t>ی</w:t>
      </w:r>
      <w:r>
        <w:rPr>
          <w:rFonts w:hint="eastAsia"/>
          <w:rtl/>
        </w:rPr>
        <w:t>ان</w:t>
      </w:r>
      <w:r>
        <w:rPr>
          <w:rtl/>
        </w:rPr>
        <w:t xml:space="preserve"> م</w:t>
      </w:r>
      <w:r>
        <w:rPr>
          <w:rFonts w:hint="cs"/>
          <w:rtl/>
        </w:rPr>
        <w:t>ی</w:t>
      </w:r>
      <w:r>
        <w:rPr>
          <w:rFonts w:hint="eastAsia"/>
          <w:rtl/>
        </w:rPr>
        <w:t>زان</w:t>
      </w:r>
      <w:r>
        <w:rPr>
          <w:rtl/>
        </w:rPr>
        <w:t xml:space="preserve"> تناسب مح</w:t>
      </w:r>
      <w:r>
        <w:rPr>
          <w:rFonts w:hint="cs"/>
          <w:rtl/>
        </w:rPr>
        <w:t>ی</w:t>
      </w:r>
      <w:r>
        <w:rPr>
          <w:rFonts w:hint="eastAsia"/>
          <w:rtl/>
        </w:rPr>
        <w:t>ط‌ز</w:t>
      </w:r>
      <w:r>
        <w:rPr>
          <w:rFonts w:hint="cs"/>
          <w:rtl/>
        </w:rPr>
        <w:t>ی</w:t>
      </w:r>
      <w:r>
        <w:rPr>
          <w:rFonts w:hint="eastAsia"/>
          <w:rtl/>
        </w:rPr>
        <w:t>ست</w:t>
      </w:r>
      <w:r>
        <w:rPr>
          <w:rFonts w:hint="cs"/>
          <w:rtl/>
        </w:rPr>
        <w:t>ی</w:t>
      </w:r>
      <w:r>
        <w:rPr>
          <w:rtl/>
        </w:rPr>
        <w:t xml:space="preserve"> هر </w:t>
      </w:r>
      <w:r>
        <w:rPr>
          <w:rFonts w:hint="eastAsia"/>
          <w:rtl/>
        </w:rPr>
        <w:t>سلول</w:t>
      </w:r>
      <w:r>
        <w:rPr>
          <w:rtl/>
        </w:rPr>
        <w:t xml:space="preserve"> مکان</w:t>
      </w:r>
      <w:r>
        <w:rPr>
          <w:rFonts w:hint="cs"/>
          <w:rtl/>
        </w:rPr>
        <w:t>ی</w:t>
      </w:r>
      <w:r>
        <w:rPr>
          <w:rtl/>
        </w:rPr>
        <w:t xml:space="preserve"> بود</w:t>
      </w:r>
      <w:r>
        <w:t>.</w:t>
      </w:r>
    </w:p>
    <w:p w14:paraId="7F9CF332" w14:textId="77777777" w:rsidR="00B71118" w:rsidRDefault="00B71118" w:rsidP="00B71118">
      <w:pPr>
        <w:spacing w:after="40"/>
        <w:rPr>
          <w:rtl/>
        </w:rPr>
      </w:pPr>
      <w:r>
        <w:rPr>
          <w:rFonts w:hint="eastAsia"/>
          <w:rtl/>
        </w:rPr>
        <w:t>شاخص</w:t>
      </w:r>
      <w:r>
        <w:rPr>
          <w:rtl/>
        </w:rPr>
        <w:t xml:space="preserve"> تناسب مح</w:t>
      </w:r>
      <w:r>
        <w:rPr>
          <w:rFonts w:hint="cs"/>
          <w:rtl/>
        </w:rPr>
        <w:t>ی</w:t>
      </w:r>
      <w:r>
        <w:rPr>
          <w:rFonts w:hint="eastAsia"/>
          <w:rtl/>
        </w:rPr>
        <w:t>ط‌ز</w:t>
      </w:r>
      <w:r>
        <w:rPr>
          <w:rFonts w:hint="cs"/>
          <w:rtl/>
        </w:rPr>
        <w:t>ی</w:t>
      </w:r>
      <w:r>
        <w:rPr>
          <w:rFonts w:hint="eastAsia"/>
          <w:rtl/>
        </w:rPr>
        <w:t>ست</w:t>
      </w:r>
      <w:r>
        <w:rPr>
          <w:rFonts w:hint="cs"/>
          <w:rtl/>
        </w:rPr>
        <w:t>ی</w:t>
      </w:r>
      <w:r>
        <w:rPr>
          <w:rtl/>
        </w:rPr>
        <w:t xml:space="preserve"> به‌صورت مجموع وزن</w:t>
      </w:r>
      <w:r>
        <w:rPr>
          <w:rFonts w:hint="cs"/>
          <w:rtl/>
        </w:rPr>
        <w:t>ی</w:t>
      </w:r>
      <w:r>
        <w:rPr>
          <w:rtl/>
        </w:rPr>
        <w:t xml:space="preserve"> امت</w:t>
      </w:r>
      <w:r>
        <w:rPr>
          <w:rFonts w:hint="cs"/>
          <w:rtl/>
        </w:rPr>
        <w:t>ی</w:t>
      </w:r>
      <w:r>
        <w:rPr>
          <w:rFonts w:hint="eastAsia"/>
          <w:rtl/>
        </w:rPr>
        <w:t>ازها</w:t>
      </w:r>
      <w:r>
        <w:rPr>
          <w:rFonts w:hint="cs"/>
          <w:rtl/>
        </w:rPr>
        <w:t>ی</w:t>
      </w:r>
      <w:r>
        <w:rPr>
          <w:rtl/>
        </w:rPr>
        <w:t xml:space="preserve"> استانداردشده مع</w:t>
      </w:r>
      <w:r>
        <w:rPr>
          <w:rFonts w:hint="cs"/>
          <w:rtl/>
        </w:rPr>
        <w:t>ی</w:t>
      </w:r>
      <w:r>
        <w:rPr>
          <w:rFonts w:hint="eastAsia"/>
          <w:rtl/>
        </w:rPr>
        <w:t>ارها</w:t>
      </w:r>
      <w:r>
        <w:rPr>
          <w:rtl/>
        </w:rPr>
        <w:t xml:space="preserve"> محاسبه شد</w:t>
      </w:r>
      <w:r>
        <w:rPr>
          <w:rFonts w:hint="cs"/>
          <w:rtl/>
          <w:lang w:bidi="fa-IR"/>
        </w:rPr>
        <w:t>:</w:t>
      </w:r>
      <w:r w:rsidRPr="00CE10BB">
        <w:rPr>
          <w:rtl/>
        </w:rPr>
        <w:t xml:space="preserve"> </w:t>
      </w:r>
    </w:p>
    <w:p w14:paraId="432AD04E" w14:textId="77777777" w:rsidR="00B71118" w:rsidRPr="00BE0A6A" w:rsidRDefault="00B71118" w:rsidP="00B71118">
      <w:pPr>
        <w:spacing w:after="40"/>
        <w:rPr>
          <w:rtl/>
        </w:rPr>
      </w:pPr>
      <w:r>
        <w:rPr>
          <w:rFonts w:hint="cs"/>
          <w:rtl/>
        </w:rPr>
        <w:t>رابطه 1)</w:t>
      </w:r>
    </w:p>
    <w:p w14:paraId="5C862603" w14:textId="77777777" w:rsidR="00B71118" w:rsidRPr="00BE0A6A" w:rsidRDefault="00B71118" w:rsidP="00B71118">
      <w:pPr>
        <w:spacing w:after="40"/>
        <w:ind w:firstLine="567"/>
        <w:jc w:val="left"/>
        <w:rPr>
          <w:rFonts w:cs="B Nazanin"/>
          <w:szCs w:val="24"/>
          <w:rtl/>
          <w:lang w:bidi="fa-IR"/>
        </w:rPr>
      </w:pPr>
      <m:oMathPara>
        <m:oMath>
          <m:sSub>
            <m:sSubPr>
              <m:ctrlPr>
                <w:rPr>
                  <w:rFonts w:ascii="Cambria Math" w:eastAsiaTheme="minorEastAsia" w:hAnsi="Cambria Math" w:cs="B Nazanin"/>
                  <w:i/>
                  <w:szCs w:val="24"/>
                </w:rPr>
              </m:ctrlPr>
            </m:sSubPr>
            <m:e>
              <m:r>
                <w:rPr>
                  <w:rFonts w:ascii="Cambria Math" w:eastAsiaTheme="minorEastAsia" w:hAnsi="Cambria Math" w:cs="B Nazanin"/>
                  <w:szCs w:val="24"/>
                </w:rPr>
                <m:t>SEA</m:t>
              </m:r>
            </m:e>
            <m:sub>
              <m:r>
                <w:rPr>
                  <w:rFonts w:ascii="Cambria Math" w:eastAsiaTheme="minorEastAsia" w:hAnsi="Cambria Math" w:cs="B Nazanin"/>
                  <w:szCs w:val="24"/>
                </w:rPr>
                <m:t>Index</m:t>
              </m:r>
            </m:sub>
          </m:sSub>
          <m:r>
            <w:rPr>
              <w:rFonts w:ascii="Cambria Math" w:hAnsi="Cambria Math" w:cs="B Nazanin"/>
              <w:szCs w:val="24"/>
            </w:rPr>
            <m:t>=</m:t>
          </m:r>
          <m:nary>
            <m:naryPr>
              <m:chr m:val="∑"/>
              <m:limLoc m:val="undOvr"/>
              <m:ctrlPr>
                <w:rPr>
                  <w:rFonts w:ascii="Cambria Math" w:hAnsi="Cambria Math" w:cs="B Nazanin"/>
                  <w:i/>
                  <w:szCs w:val="24"/>
                </w:rPr>
              </m:ctrlPr>
            </m:naryPr>
            <m:sub>
              <m:r>
                <w:rPr>
                  <w:rFonts w:ascii="Cambria Math" w:hAnsi="Cambria Math" w:cs="B Nazanin"/>
                  <w:szCs w:val="24"/>
                </w:rPr>
                <m:t>i=1</m:t>
              </m:r>
            </m:sub>
            <m:sup>
              <m:r>
                <w:rPr>
                  <w:rFonts w:ascii="Cambria Math" w:hAnsi="Cambria Math" w:cs="B Nazanin"/>
                  <w:szCs w:val="24"/>
                </w:rPr>
                <m:t>n</m:t>
              </m:r>
            </m:sup>
            <m:e>
              <m:r>
                <w:rPr>
                  <w:rFonts w:ascii="Cambria Math" w:hAnsi="Cambria Math" w:cs="B Nazanin"/>
                  <w:szCs w:val="24"/>
                </w:rPr>
                <m:t>(Wi×Xi)</m:t>
              </m:r>
            </m:e>
          </m:nary>
        </m:oMath>
      </m:oMathPara>
    </w:p>
    <w:p w14:paraId="216D2D97" w14:textId="77777777" w:rsidR="00B71118" w:rsidRPr="00BE0A6A" w:rsidRDefault="00B71118" w:rsidP="00B71118">
      <w:pPr>
        <w:spacing w:after="40"/>
        <w:ind w:firstLine="567"/>
        <w:rPr>
          <w:rFonts w:cs="B Nazanin"/>
          <w:szCs w:val="24"/>
          <w:rtl/>
        </w:rPr>
      </w:pPr>
      <w:r w:rsidRPr="00BE0A6A">
        <w:rPr>
          <w:rFonts w:cs="B Nazanin" w:hint="eastAsia"/>
          <w:szCs w:val="24"/>
          <w:rtl/>
        </w:rPr>
        <w:t>که</w:t>
      </w:r>
      <w:r w:rsidRPr="00BE0A6A">
        <w:rPr>
          <w:rFonts w:cs="B Nazanin"/>
          <w:szCs w:val="24"/>
          <w:rtl/>
        </w:rPr>
        <w:t xml:space="preserve"> در آن:</w:t>
      </w:r>
    </w:p>
    <w:p w14:paraId="747AADEE" w14:textId="77777777" w:rsidR="00B71118" w:rsidRPr="00BE0A6A" w:rsidRDefault="00B71118" w:rsidP="00B71118">
      <w:pPr>
        <w:spacing w:after="40"/>
        <w:ind w:firstLine="567"/>
        <w:rPr>
          <w:rtl/>
        </w:rPr>
      </w:pPr>
      <m:oMath>
        <m:sSub>
          <m:sSubPr>
            <m:ctrlPr>
              <w:rPr>
                <w:rFonts w:ascii="Cambria Math" w:eastAsiaTheme="minorEastAsia" w:hAnsi="Cambria Math" w:cs="B Nazanin"/>
                <w:i/>
                <w:szCs w:val="24"/>
              </w:rPr>
            </m:ctrlPr>
          </m:sSubPr>
          <m:e>
            <m:r>
              <w:rPr>
                <w:rFonts w:ascii="Cambria Math" w:eastAsiaTheme="minorEastAsia" w:hAnsi="Cambria Math" w:cs="B Nazanin"/>
                <w:szCs w:val="24"/>
              </w:rPr>
              <m:t>SEA</m:t>
            </m:r>
          </m:e>
          <m:sub>
            <m:r>
              <w:rPr>
                <w:rFonts w:ascii="Cambria Math" w:eastAsiaTheme="minorEastAsia" w:hAnsi="Cambria Math" w:cs="B Nazanin"/>
                <w:szCs w:val="24"/>
              </w:rPr>
              <m:t>Index</m:t>
            </m:r>
          </m:sub>
        </m:sSub>
        <m:r>
          <w:rPr>
            <w:rFonts w:ascii="Cambria Math" w:hAnsi="Cambria Math" w:cs="B Nazanin"/>
            <w:szCs w:val="24"/>
          </w:rPr>
          <m:t xml:space="preserve"> </m:t>
        </m:r>
      </m:oMath>
      <w:r w:rsidRPr="00BE0A6A">
        <w:rPr>
          <w:rFonts w:cs="B Nazanin" w:hint="cs"/>
          <w:szCs w:val="24"/>
          <w:rtl/>
        </w:rPr>
        <w:t xml:space="preserve">: </w:t>
      </w:r>
      <w:r w:rsidRPr="00BE0A6A">
        <w:rPr>
          <w:rtl/>
        </w:rPr>
        <w:t>شاخص نها</w:t>
      </w:r>
      <w:r w:rsidRPr="00BE0A6A">
        <w:rPr>
          <w:rFonts w:hint="cs"/>
          <w:rtl/>
        </w:rPr>
        <w:t>یی</w:t>
      </w:r>
      <w:r w:rsidRPr="00BE0A6A">
        <w:rPr>
          <w:rtl/>
        </w:rPr>
        <w:t xml:space="preserve"> تناسب مح</w:t>
      </w:r>
      <w:r w:rsidRPr="00BE0A6A">
        <w:rPr>
          <w:rFonts w:hint="cs"/>
          <w:rtl/>
        </w:rPr>
        <w:t>ی</w:t>
      </w:r>
      <w:r w:rsidRPr="00BE0A6A">
        <w:rPr>
          <w:rFonts w:hint="eastAsia"/>
          <w:rtl/>
        </w:rPr>
        <w:t>ط‌ز</w:t>
      </w:r>
      <w:r w:rsidRPr="00BE0A6A">
        <w:rPr>
          <w:rFonts w:hint="cs"/>
          <w:rtl/>
        </w:rPr>
        <w:t>ی</w:t>
      </w:r>
      <w:r w:rsidRPr="00BE0A6A">
        <w:rPr>
          <w:rFonts w:hint="eastAsia"/>
          <w:rtl/>
        </w:rPr>
        <w:t>ست</w:t>
      </w:r>
      <w:r w:rsidRPr="00BE0A6A">
        <w:rPr>
          <w:rFonts w:hint="cs"/>
          <w:rtl/>
        </w:rPr>
        <w:t>ی</w:t>
      </w:r>
      <w:r w:rsidRPr="00BE0A6A">
        <w:rPr>
          <w:rtl/>
        </w:rPr>
        <w:t xml:space="preserve"> توسعه معدن</w:t>
      </w:r>
      <w:r>
        <w:rPr>
          <w:rFonts w:hint="cs"/>
          <w:rtl/>
        </w:rPr>
        <w:t xml:space="preserve">، </w:t>
      </w:r>
      <m:oMath>
        <m:r>
          <w:rPr>
            <w:rFonts w:ascii="Cambria Math" w:hAnsi="Cambria Math" w:cs="B Nazanin"/>
            <w:szCs w:val="24"/>
          </w:rPr>
          <m:t>Wi</m:t>
        </m:r>
      </m:oMath>
      <w:r w:rsidRPr="00BE0A6A">
        <w:rPr>
          <w:rFonts w:cs="B Nazanin"/>
          <w:szCs w:val="24"/>
          <w:rtl/>
        </w:rPr>
        <w:t xml:space="preserve">: </w:t>
      </w:r>
      <w:r w:rsidRPr="00BE0A6A">
        <w:rPr>
          <w:rtl/>
        </w:rPr>
        <w:t>وزن اختصاص‌</w:t>
      </w:r>
      <w:r w:rsidRPr="00BE0A6A">
        <w:rPr>
          <w:rFonts w:hint="cs"/>
          <w:rtl/>
        </w:rPr>
        <w:t>ی</w:t>
      </w:r>
      <w:r w:rsidRPr="00BE0A6A">
        <w:rPr>
          <w:rFonts w:hint="eastAsia"/>
          <w:rtl/>
        </w:rPr>
        <w:t>افته</w:t>
      </w:r>
      <w:r w:rsidRPr="00BE0A6A">
        <w:rPr>
          <w:rtl/>
        </w:rPr>
        <w:t xml:space="preserve"> به مع</w:t>
      </w:r>
      <w:r w:rsidRPr="00BE0A6A">
        <w:rPr>
          <w:rFonts w:hint="cs"/>
          <w:rtl/>
        </w:rPr>
        <w:t>ی</w:t>
      </w:r>
      <w:r w:rsidRPr="00BE0A6A">
        <w:rPr>
          <w:rFonts w:hint="eastAsia"/>
          <w:rtl/>
        </w:rPr>
        <w:t>ار</w:t>
      </w:r>
      <w:r w:rsidRPr="00BE0A6A">
        <w:rPr>
          <w:rtl/>
        </w:rPr>
        <w:t xml:space="preserve"> </w:t>
      </w:r>
      <w:r w:rsidRPr="00BE0A6A">
        <w:t>i</w:t>
      </w:r>
      <w:r w:rsidRPr="00BE0A6A">
        <w:rPr>
          <w:rtl/>
        </w:rPr>
        <w:t xml:space="preserve"> حاصل از روش </w:t>
      </w:r>
      <w:r w:rsidRPr="00BE0A6A">
        <w:t>AHP</w:t>
      </w:r>
      <w:r>
        <w:rPr>
          <w:rFonts w:hint="cs"/>
          <w:rtl/>
        </w:rPr>
        <w:t xml:space="preserve">، </w:t>
      </w:r>
      <m:oMath>
        <m:r>
          <w:rPr>
            <w:rFonts w:ascii="Cambria Math" w:hAnsi="Cambria Math" w:cs="B Nazanin"/>
            <w:szCs w:val="24"/>
          </w:rPr>
          <m:t>Xi</m:t>
        </m:r>
      </m:oMath>
      <w:r w:rsidRPr="00BE0A6A">
        <w:rPr>
          <w:rFonts w:cs="B Nazanin"/>
          <w:szCs w:val="24"/>
          <w:rtl/>
        </w:rPr>
        <w:t xml:space="preserve">: </w:t>
      </w:r>
      <w:r w:rsidRPr="00BE0A6A">
        <w:rPr>
          <w:rtl/>
        </w:rPr>
        <w:t>مقدار استاندارد</w:t>
      </w:r>
      <w:r w:rsidRPr="00BE0A6A">
        <w:rPr>
          <w:rFonts w:hint="cs"/>
          <w:rtl/>
        </w:rPr>
        <w:t xml:space="preserve"> </w:t>
      </w:r>
      <w:r w:rsidRPr="00BE0A6A">
        <w:rPr>
          <w:rtl/>
        </w:rPr>
        <w:t>شده مع</w:t>
      </w:r>
      <w:r w:rsidRPr="00BE0A6A">
        <w:rPr>
          <w:rFonts w:hint="cs"/>
          <w:rtl/>
        </w:rPr>
        <w:t>ی</w:t>
      </w:r>
      <w:r w:rsidRPr="00BE0A6A">
        <w:rPr>
          <w:rFonts w:hint="eastAsia"/>
          <w:rtl/>
        </w:rPr>
        <w:t>ار</w:t>
      </w:r>
      <w:r w:rsidRPr="00BE0A6A">
        <w:rPr>
          <w:rtl/>
        </w:rPr>
        <w:t xml:space="preserve"> </w:t>
      </w:r>
      <w:r w:rsidRPr="00BE0A6A">
        <w:t>i</w:t>
      </w:r>
      <w:r>
        <w:rPr>
          <w:rFonts w:hint="cs"/>
          <w:rtl/>
          <w:lang w:bidi="fa-IR"/>
        </w:rPr>
        <w:t xml:space="preserve"> و</w:t>
      </w:r>
      <w:r w:rsidRPr="00BE0A6A">
        <w:rPr>
          <w:rFonts w:cs="B Nazanin"/>
          <w:szCs w:val="24"/>
        </w:rPr>
        <w:t>n</w:t>
      </w:r>
      <w:r w:rsidRPr="00BE0A6A">
        <w:rPr>
          <w:rFonts w:cs="B Nazanin"/>
          <w:szCs w:val="24"/>
          <w:rtl/>
        </w:rPr>
        <w:t xml:space="preserve">: </w:t>
      </w:r>
      <w:r w:rsidRPr="00BE0A6A">
        <w:rPr>
          <w:rtl/>
        </w:rPr>
        <w:t>تعداد مع</w:t>
      </w:r>
      <w:r w:rsidRPr="00BE0A6A">
        <w:rPr>
          <w:rFonts w:hint="cs"/>
          <w:rtl/>
        </w:rPr>
        <w:t>ی</w:t>
      </w:r>
      <w:r w:rsidRPr="00BE0A6A">
        <w:rPr>
          <w:rFonts w:hint="eastAsia"/>
          <w:rtl/>
        </w:rPr>
        <w:t>ارها</w:t>
      </w:r>
      <w:r w:rsidRPr="00BE0A6A">
        <w:rPr>
          <w:rFonts w:hint="cs"/>
          <w:rtl/>
        </w:rPr>
        <w:t>ی</w:t>
      </w:r>
      <w:r w:rsidRPr="00BE0A6A">
        <w:rPr>
          <w:rtl/>
        </w:rPr>
        <w:t xml:space="preserve"> مورد استفاده در مدل</w:t>
      </w:r>
      <w:r>
        <w:rPr>
          <w:rFonts w:hint="cs"/>
          <w:rtl/>
        </w:rPr>
        <w:t xml:space="preserve"> می‌باشد.</w:t>
      </w:r>
    </w:p>
    <w:p w14:paraId="216F6685" w14:textId="77777777" w:rsidR="00B71118" w:rsidRDefault="00B71118" w:rsidP="00B71118">
      <w:pPr>
        <w:spacing w:after="40"/>
        <w:rPr>
          <w:rtl/>
        </w:rPr>
      </w:pPr>
      <w:r w:rsidRPr="00BE0A6A">
        <w:rPr>
          <w:rFonts w:hint="eastAsia"/>
          <w:rtl/>
        </w:rPr>
        <w:t>در</w:t>
      </w:r>
      <w:r w:rsidRPr="00BE0A6A">
        <w:rPr>
          <w:rtl/>
        </w:rPr>
        <w:t xml:space="preserve"> ا</w:t>
      </w:r>
      <w:r w:rsidRPr="00BE0A6A">
        <w:rPr>
          <w:rFonts w:hint="cs"/>
          <w:rtl/>
        </w:rPr>
        <w:t>ی</w:t>
      </w:r>
      <w:r w:rsidRPr="00BE0A6A">
        <w:rPr>
          <w:rFonts w:hint="eastAsia"/>
          <w:rtl/>
        </w:rPr>
        <w:t>ن</w:t>
      </w:r>
      <w:r w:rsidRPr="00BE0A6A">
        <w:rPr>
          <w:rtl/>
        </w:rPr>
        <w:t xml:space="preserve"> پژوهش، شاخص تناسب مح</w:t>
      </w:r>
      <w:r w:rsidRPr="00BE0A6A">
        <w:rPr>
          <w:rFonts w:hint="cs"/>
          <w:rtl/>
        </w:rPr>
        <w:t>ی</w:t>
      </w:r>
      <w:r w:rsidRPr="00BE0A6A">
        <w:rPr>
          <w:rFonts w:hint="eastAsia"/>
          <w:rtl/>
        </w:rPr>
        <w:t>ط‌ز</w:t>
      </w:r>
      <w:r w:rsidRPr="00BE0A6A">
        <w:rPr>
          <w:rFonts w:hint="cs"/>
          <w:rtl/>
        </w:rPr>
        <w:t>ی</w:t>
      </w:r>
      <w:r w:rsidRPr="00BE0A6A">
        <w:rPr>
          <w:rFonts w:hint="eastAsia"/>
          <w:rtl/>
        </w:rPr>
        <w:t>ست</w:t>
      </w:r>
      <w:r w:rsidRPr="00BE0A6A">
        <w:rPr>
          <w:rFonts w:hint="cs"/>
          <w:rtl/>
        </w:rPr>
        <w:t>ی</w:t>
      </w:r>
      <w:r w:rsidRPr="00BE0A6A">
        <w:rPr>
          <w:rtl/>
        </w:rPr>
        <w:t xml:space="preserve"> بر اساس هفت مع</w:t>
      </w:r>
      <w:r w:rsidRPr="00BE0A6A">
        <w:rPr>
          <w:rFonts w:hint="cs"/>
          <w:rtl/>
        </w:rPr>
        <w:t>ی</w:t>
      </w:r>
      <w:r w:rsidRPr="00BE0A6A">
        <w:rPr>
          <w:rFonts w:hint="eastAsia"/>
          <w:rtl/>
        </w:rPr>
        <w:t>ار</w:t>
      </w:r>
      <w:r w:rsidRPr="00BE0A6A">
        <w:rPr>
          <w:rtl/>
        </w:rPr>
        <w:t xml:space="preserve"> اصل</w:t>
      </w:r>
      <w:r w:rsidRPr="00BE0A6A">
        <w:rPr>
          <w:rFonts w:hint="cs"/>
          <w:rtl/>
        </w:rPr>
        <w:t>ی</w:t>
      </w:r>
      <w:r w:rsidRPr="00BE0A6A">
        <w:rPr>
          <w:rtl/>
        </w:rPr>
        <w:t xml:space="preserve"> محاسبه شد:</w:t>
      </w:r>
    </w:p>
    <w:p w14:paraId="49BCB4E3" w14:textId="77777777" w:rsidR="00B71118" w:rsidRPr="00BE0A6A" w:rsidRDefault="00B71118" w:rsidP="00B71118">
      <w:pPr>
        <w:spacing w:after="40"/>
        <w:rPr>
          <w:rtl/>
        </w:rPr>
      </w:pPr>
      <w:r>
        <w:rPr>
          <w:rFonts w:hint="cs"/>
          <w:rtl/>
        </w:rPr>
        <w:t>رابطه 2)</w:t>
      </w:r>
    </w:p>
    <w:p w14:paraId="6774479F" w14:textId="77777777" w:rsidR="00B71118" w:rsidRPr="00BE0A6A" w:rsidRDefault="00B71118" w:rsidP="00B71118">
      <w:pPr>
        <w:bidi w:val="0"/>
        <w:spacing w:after="40"/>
        <w:ind w:firstLine="0"/>
        <w:rPr>
          <w:rFonts w:cs="B Nazanin"/>
          <w:szCs w:val="24"/>
        </w:rPr>
      </w:pPr>
      <w:r w:rsidRPr="00BE0A6A">
        <w:rPr>
          <w:rFonts w:cs="B Nazanin"/>
          <w:szCs w:val="24"/>
        </w:rPr>
        <w:t>​</w:t>
      </w:r>
      <m:oMath>
        <m:r>
          <w:rPr>
            <w:rFonts w:ascii="Cambria Math" w:hAnsi="Cambria Math" w:cs="B Nazanin"/>
            <w:szCs w:val="24"/>
          </w:rPr>
          <m:t>SEA=</m:t>
        </m:r>
        <m:r>
          <w:rPr>
            <w:rFonts w:ascii="Cambria Math" w:hAnsi="Cambria Math" w:cs="B Nazanin"/>
            <w:sz w:val="20"/>
            <w:szCs w:val="24"/>
          </w:rPr>
          <m:t>(</m:t>
        </m:r>
        <m:r>
          <m:rPr>
            <m:sty m:val="p"/>
          </m:rPr>
          <w:rPr>
            <w:rFonts w:ascii="Cambria Math" w:hAnsi="Cambria Math" w:cs="B Nazanin"/>
            <w:sz w:val="20"/>
            <w:szCs w:val="24"/>
          </w:rPr>
          <m:t>0.243</m:t>
        </m:r>
        <m:sSub>
          <m:sSubPr>
            <m:ctrlPr>
              <w:rPr>
                <w:rFonts w:ascii="Cambria Math" w:hAnsi="Cambria Math" w:cs="B Nazanin"/>
                <w:sz w:val="20"/>
                <w:szCs w:val="24"/>
              </w:rPr>
            </m:ctrlPr>
          </m:sSubPr>
          <m:e>
            <m:r>
              <m:rPr>
                <m:sty m:val="p"/>
              </m:rPr>
              <w:rPr>
                <w:rFonts w:ascii="Cambria Math" w:hAnsi="Cambria Math" w:cs="B Nazanin"/>
                <w:sz w:val="20"/>
                <w:szCs w:val="24"/>
              </w:rPr>
              <m:t>W</m:t>
            </m:r>
          </m:e>
          <m:sub>
            <m:r>
              <w:rPr>
                <w:rFonts w:ascii="Cambria Math" w:hAnsi="Cambria Math" w:cs="B Nazanin"/>
                <w:sz w:val="20"/>
                <w:szCs w:val="24"/>
              </w:rPr>
              <m:t>1</m:t>
            </m:r>
          </m:sub>
        </m:sSub>
        <m:r>
          <m:rPr>
            <m:sty m:val="p"/>
          </m:rPr>
          <w:rPr>
            <w:rFonts w:ascii="Cambria Math" w:hAnsi="Cambria Math" w:cs="B Nazanin"/>
            <w:sz w:val="20"/>
            <w:szCs w:val="24"/>
          </w:rPr>
          <m:t>​)</m:t>
        </m:r>
        <m:r>
          <w:rPr>
            <w:rFonts w:ascii="Cambria Math" w:hAnsi="Cambria Math" w:cs="B Nazanin"/>
            <w:szCs w:val="24"/>
          </w:rPr>
          <m:t>+</m:t>
        </m:r>
        <m:r>
          <w:rPr>
            <w:rFonts w:ascii="Cambria Math" w:hAnsi="Cambria Math" w:cs="B Nazanin"/>
            <w:sz w:val="20"/>
            <w:szCs w:val="24"/>
          </w:rPr>
          <m:t>(</m:t>
        </m:r>
        <m:r>
          <m:rPr>
            <m:sty m:val="p"/>
          </m:rPr>
          <w:rPr>
            <w:rFonts w:ascii="Cambria Math" w:hAnsi="Cambria Math" w:cs="B Nazanin"/>
            <w:sz w:val="20"/>
            <w:szCs w:val="24"/>
          </w:rPr>
          <m:t>0.189</m:t>
        </m:r>
        <m:sSub>
          <m:sSubPr>
            <m:ctrlPr>
              <w:rPr>
                <w:rFonts w:ascii="Cambria Math" w:hAnsi="Cambria Math" w:cs="B Nazanin"/>
                <w:sz w:val="20"/>
                <w:szCs w:val="24"/>
              </w:rPr>
            </m:ctrlPr>
          </m:sSubPr>
          <m:e>
            <m:r>
              <m:rPr>
                <m:sty m:val="p"/>
              </m:rPr>
              <w:rPr>
                <w:rFonts w:ascii="Cambria Math" w:hAnsi="Cambria Math" w:cs="B Nazanin"/>
                <w:sz w:val="20"/>
                <w:szCs w:val="24"/>
              </w:rPr>
              <m:t>W</m:t>
            </m:r>
          </m:e>
          <m:sub>
            <m:r>
              <w:rPr>
                <w:rFonts w:ascii="Cambria Math" w:hAnsi="Cambria Math" w:cs="B Nazanin"/>
                <w:sz w:val="20"/>
                <w:szCs w:val="24"/>
              </w:rPr>
              <m:t>2</m:t>
            </m:r>
          </m:sub>
        </m:sSub>
        <m:r>
          <m:rPr>
            <m:sty m:val="p"/>
          </m:rPr>
          <w:rPr>
            <w:rFonts w:ascii="Cambria Math" w:hAnsi="Cambria Math" w:cs="B Nazanin"/>
            <w:sz w:val="20"/>
            <w:szCs w:val="24"/>
          </w:rPr>
          <m:t>​)</m:t>
        </m:r>
        <m:r>
          <w:rPr>
            <w:rFonts w:ascii="Cambria Math" w:hAnsi="Cambria Math" w:cs="B Nazanin"/>
            <w:szCs w:val="24"/>
          </w:rPr>
          <m:t>+</m:t>
        </m:r>
        <m:r>
          <w:rPr>
            <w:rFonts w:ascii="Cambria Math" w:hAnsi="Cambria Math" w:cs="B Nazanin"/>
            <w:sz w:val="20"/>
            <w:szCs w:val="24"/>
          </w:rPr>
          <m:t>(</m:t>
        </m:r>
        <m:r>
          <m:rPr>
            <m:sty m:val="p"/>
          </m:rPr>
          <w:rPr>
            <w:rFonts w:ascii="Cambria Math" w:hAnsi="Cambria Math" w:cs="B Nazanin"/>
            <w:sz w:val="20"/>
            <w:szCs w:val="24"/>
          </w:rPr>
          <m:t>0.147</m:t>
        </m:r>
        <m:sSub>
          <m:sSubPr>
            <m:ctrlPr>
              <w:rPr>
                <w:rFonts w:ascii="Cambria Math" w:hAnsi="Cambria Math" w:cs="B Nazanin"/>
                <w:sz w:val="20"/>
                <w:szCs w:val="24"/>
              </w:rPr>
            </m:ctrlPr>
          </m:sSubPr>
          <m:e>
            <m:r>
              <m:rPr>
                <m:sty m:val="p"/>
              </m:rPr>
              <w:rPr>
                <w:rFonts w:ascii="Cambria Math" w:hAnsi="Cambria Math" w:cs="B Nazanin"/>
                <w:sz w:val="20"/>
                <w:szCs w:val="24"/>
              </w:rPr>
              <m:t>W</m:t>
            </m:r>
          </m:e>
          <m:sub>
            <m:r>
              <w:rPr>
                <w:rFonts w:ascii="Cambria Math" w:hAnsi="Cambria Math" w:cs="B Nazanin"/>
                <w:sz w:val="20"/>
                <w:szCs w:val="24"/>
              </w:rPr>
              <m:t>3</m:t>
            </m:r>
          </m:sub>
        </m:sSub>
        <m:r>
          <m:rPr>
            <m:sty m:val="p"/>
          </m:rPr>
          <w:rPr>
            <w:rFonts w:ascii="Cambria Math" w:hAnsi="Cambria Math" w:cs="B Nazanin"/>
            <w:sz w:val="20"/>
            <w:szCs w:val="24"/>
          </w:rPr>
          <m:t>​)</m:t>
        </m:r>
        <m:r>
          <w:rPr>
            <w:rFonts w:ascii="Cambria Math" w:hAnsi="Cambria Math" w:cs="B Nazanin"/>
            <w:szCs w:val="24"/>
          </w:rPr>
          <m:t>+</m:t>
        </m:r>
        <m:r>
          <w:rPr>
            <w:rFonts w:ascii="Cambria Math" w:hAnsi="Cambria Math" w:cs="B Nazanin"/>
            <w:sz w:val="20"/>
            <w:szCs w:val="24"/>
          </w:rPr>
          <m:t>(</m:t>
        </m:r>
        <m:r>
          <m:rPr>
            <m:sty m:val="p"/>
          </m:rPr>
          <w:rPr>
            <w:rFonts w:ascii="Cambria Math" w:hAnsi="Cambria Math" w:cs="B Nazanin"/>
            <w:sz w:val="20"/>
            <w:szCs w:val="24"/>
          </w:rPr>
          <m:t>0.124</m:t>
        </m:r>
        <m:sSub>
          <m:sSubPr>
            <m:ctrlPr>
              <w:rPr>
                <w:rFonts w:ascii="Cambria Math" w:hAnsi="Cambria Math" w:cs="B Nazanin"/>
                <w:sz w:val="20"/>
                <w:szCs w:val="24"/>
              </w:rPr>
            </m:ctrlPr>
          </m:sSubPr>
          <m:e>
            <m:r>
              <m:rPr>
                <m:sty m:val="p"/>
              </m:rPr>
              <w:rPr>
                <w:rFonts w:ascii="Cambria Math" w:hAnsi="Cambria Math" w:cs="B Nazanin"/>
                <w:sz w:val="20"/>
                <w:szCs w:val="24"/>
              </w:rPr>
              <m:t>W</m:t>
            </m:r>
          </m:e>
          <m:sub>
            <m:r>
              <w:rPr>
                <w:rFonts w:ascii="Cambria Math" w:hAnsi="Cambria Math" w:cs="B Nazanin"/>
                <w:sz w:val="20"/>
                <w:szCs w:val="24"/>
              </w:rPr>
              <m:t>4</m:t>
            </m:r>
          </m:sub>
        </m:sSub>
        <m:r>
          <m:rPr>
            <m:sty m:val="p"/>
          </m:rPr>
          <w:rPr>
            <w:rFonts w:ascii="Cambria Math" w:hAnsi="Cambria Math" w:cs="B Nazanin"/>
            <w:sz w:val="20"/>
            <w:szCs w:val="24"/>
          </w:rPr>
          <m:t>​)</m:t>
        </m:r>
        <m:r>
          <w:rPr>
            <w:rFonts w:ascii="Cambria Math" w:hAnsi="Cambria Math" w:cs="B Nazanin"/>
            <w:szCs w:val="24"/>
          </w:rPr>
          <m:t>+</m:t>
        </m:r>
        <m:r>
          <w:rPr>
            <w:rFonts w:ascii="Cambria Math" w:hAnsi="Cambria Math" w:cs="B Nazanin"/>
            <w:sz w:val="20"/>
            <w:szCs w:val="24"/>
          </w:rPr>
          <m:t>(</m:t>
        </m:r>
        <m:r>
          <m:rPr>
            <m:sty m:val="p"/>
          </m:rPr>
          <w:rPr>
            <w:rFonts w:ascii="Cambria Math" w:hAnsi="Cambria Math" w:cs="B Nazanin"/>
            <w:sz w:val="20"/>
            <w:szCs w:val="24"/>
          </w:rPr>
          <m:t>0.106</m:t>
        </m:r>
        <m:sSub>
          <m:sSubPr>
            <m:ctrlPr>
              <w:rPr>
                <w:rFonts w:ascii="Cambria Math" w:hAnsi="Cambria Math" w:cs="B Nazanin"/>
                <w:sz w:val="20"/>
                <w:szCs w:val="24"/>
              </w:rPr>
            </m:ctrlPr>
          </m:sSubPr>
          <m:e>
            <m:r>
              <m:rPr>
                <m:sty m:val="p"/>
              </m:rPr>
              <w:rPr>
                <w:rFonts w:ascii="Cambria Math" w:hAnsi="Cambria Math" w:cs="B Nazanin"/>
                <w:sz w:val="20"/>
                <w:szCs w:val="24"/>
              </w:rPr>
              <m:t>W</m:t>
            </m:r>
          </m:e>
          <m:sub>
            <m:r>
              <w:rPr>
                <w:rFonts w:ascii="Cambria Math" w:hAnsi="Cambria Math" w:cs="B Nazanin"/>
                <w:sz w:val="20"/>
                <w:szCs w:val="24"/>
              </w:rPr>
              <m:t>5</m:t>
            </m:r>
          </m:sub>
        </m:sSub>
        <m:r>
          <m:rPr>
            <m:sty m:val="p"/>
          </m:rPr>
          <w:rPr>
            <w:rFonts w:ascii="Cambria Math" w:hAnsi="Cambria Math" w:cs="B Nazanin"/>
            <w:sz w:val="20"/>
            <w:szCs w:val="24"/>
          </w:rPr>
          <m:t>​)</m:t>
        </m:r>
        <m:r>
          <w:rPr>
            <w:rFonts w:ascii="Cambria Math" w:hAnsi="Cambria Math" w:cs="B Nazanin"/>
            <w:szCs w:val="24"/>
          </w:rPr>
          <m:t>+</m:t>
        </m:r>
        <m:r>
          <w:rPr>
            <w:rFonts w:ascii="Cambria Math" w:hAnsi="Cambria Math" w:cs="B Nazanin"/>
            <w:sz w:val="20"/>
            <w:szCs w:val="24"/>
          </w:rPr>
          <m:t>(</m:t>
        </m:r>
        <m:r>
          <m:rPr>
            <m:sty m:val="p"/>
          </m:rPr>
          <w:rPr>
            <w:rFonts w:ascii="Cambria Math" w:hAnsi="Cambria Math" w:cs="B Nazanin"/>
            <w:sz w:val="20"/>
            <w:szCs w:val="24"/>
          </w:rPr>
          <m:t>0.098</m:t>
        </m:r>
        <m:sSub>
          <m:sSubPr>
            <m:ctrlPr>
              <w:rPr>
                <w:rFonts w:ascii="Cambria Math" w:hAnsi="Cambria Math" w:cs="B Nazanin"/>
                <w:sz w:val="20"/>
                <w:szCs w:val="24"/>
              </w:rPr>
            </m:ctrlPr>
          </m:sSubPr>
          <m:e>
            <m:r>
              <m:rPr>
                <m:sty m:val="p"/>
              </m:rPr>
              <w:rPr>
                <w:rFonts w:ascii="Cambria Math" w:hAnsi="Cambria Math" w:cs="B Nazanin"/>
                <w:sz w:val="20"/>
                <w:szCs w:val="24"/>
              </w:rPr>
              <m:t>W</m:t>
            </m:r>
          </m:e>
          <m:sub>
            <m:r>
              <w:rPr>
                <w:rFonts w:ascii="Cambria Math" w:hAnsi="Cambria Math" w:cs="B Nazanin"/>
                <w:sz w:val="20"/>
                <w:szCs w:val="24"/>
              </w:rPr>
              <m:t>6</m:t>
            </m:r>
          </m:sub>
        </m:sSub>
        <m:r>
          <m:rPr>
            <m:sty m:val="p"/>
          </m:rPr>
          <w:rPr>
            <w:rFonts w:ascii="Cambria Math" w:hAnsi="Cambria Math" w:cs="B Nazanin"/>
            <w:sz w:val="20"/>
            <w:szCs w:val="24"/>
          </w:rPr>
          <m:t>​)</m:t>
        </m:r>
        <m:r>
          <w:rPr>
            <w:rFonts w:ascii="Cambria Math" w:hAnsi="Cambria Math" w:cs="B Nazanin"/>
            <w:szCs w:val="24"/>
          </w:rPr>
          <m:t>+</m:t>
        </m:r>
        <m:r>
          <w:rPr>
            <w:rFonts w:ascii="Cambria Math" w:hAnsi="Cambria Math" w:cs="B Nazanin"/>
            <w:sz w:val="20"/>
            <w:szCs w:val="24"/>
          </w:rPr>
          <m:t>(</m:t>
        </m:r>
        <m:r>
          <m:rPr>
            <m:sty m:val="p"/>
          </m:rPr>
          <w:rPr>
            <w:rFonts w:ascii="Cambria Math" w:hAnsi="Cambria Math" w:cs="B Nazanin"/>
            <w:sz w:val="20"/>
            <w:szCs w:val="24"/>
          </w:rPr>
          <m:t>0.093</m:t>
        </m:r>
        <m:sSub>
          <m:sSubPr>
            <m:ctrlPr>
              <w:rPr>
                <w:rFonts w:ascii="Cambria Math" w:hAnsi="Cambria Math" w:cs="B Nazanin"/>
                <w:sz w:val="20"/>
                <w:szCs w:val="24"/>
              </w:rPr>
            </m:ctrlPr>
          </m:sSubPr>
          <m:e>
            <m:r>
              <m:rPr>
                <m:sty m:val="p"/>
              </m:rPr>
              <w:rPr>
                <w:rFonts w:ascii="Cambria Math" w:hAnsi="Cambria Math" w:cs="B Nazanin"/>
                <w:sz w:val="20"/>
                <w:szCs w:val="24"/>
              </w:rPr>
              <m:t>W</m:t>
            </m:r>
          </m:e>
          <m:sub>
            <m:r>
              <w:rPr>
                <w:rFonts w:ascii="Cambria Math" w:hAnsi="Cambria Math" w:cs="B Nazanin"/>
                <w:sz w:val="20"/>
                <w:szCs w:val="24"/>
              </w:rPr>
              <m:t>7</m:t>
            </m:r>
          </m:sub>
        </m:sSub>
        <m:r>
          <m:rPr>
            <m:sty m:val="p"/>
          </m:rPr>
          <w:rPr>
            <w:rFonts w:ascii="Cambria Math" w:hAnsi="Cambria Math" w:cs="B Nazanin"/>
            <w:sz w:val="20"/>
            <w:szCs w:val="24"/>
          </w:rPr>
          <m:t>​)</m:t>
        </m:r>
      </m:oMath>
    </w:p>
    <w:p w14:paraId="72EC92D3" w14:textId="77777777" w:rsidR="00B71118" w:rsidRPr="00BE0A6A" w:rsidRDefault="00B71118" w:rsidP="00B71118">
      <w:pPr>
        <w:spacing w:after="40"/>
        <w:ind w:firstLine="567"/>
      </w:pPr>
      <w:r w:rsidRPr="00BE0A6A">
        <w:rPr>
          <w:rFonts w:cs="B Nazanin"/>
          <w:szCs w:val="24"/>
        </w:rPr>
        <w:t>W</w:t>
      </w:r>
      <w:r w:rsidRPr="00BE0A6A">
        <w:rPr>
          <w:rFonts w:cs="B Nazanin"/>
          <w:szCs w:val="24"/>
          <w:vertAlign w:val="subscript"/>
        </w:rPr>
        <w:t>1</w:t>
      </w:r>
      <w:r w:rsidRPr="00BE0A6A">
        <w:rPr>
          <w:rFonts w:cs="B Nazanin"/>
          <w:szCs w:val="24"/>
          <w:rtl/>
        </w:rPr>
        <w:t xml:space="preserve">: </w:t>
      </w:r>
      <w:r w:rsidRPr="00BE0A6A">
        <w:rPr>
          <w:rtl/>
        </w:rPr>
        <w:t>فاصله از منابع آب نقطه‌ا</w:t>
      </w:r>
      <w:r w:rsidRPr="00BE0A6A">
        <w:rPr>
          <w:rFonts w:hint="cs"/>
          <w:rtl/>
        </w:rPr>
        <w:t>ی</w:t>
      </w:r>
      <w:r>
        <w:rPr>
          <w:rFonts w:cs="B Nazanin" w:hint="cs"/>
          <w:szCs w:val="24"/>
          <w:rtl/>
        </w:rPr>
        <w:t xml:space="preserve">، </w:t>
      </w:r>
      <w:r w:rsidRPr="00BE0A6A">
        <w:rPr>
          <w:rFonts w:cs="B Nazanin"/>
          <w:szCs w:val="24"/>
        </w:rPr>
        <w:t>W</w:t>
      </w:r>
      <w:r w:rsidRPr="00BE0A6A">
        <w:rPr>
          <w:rFonts w:cs="B Nazanin"/>
          <w:szCs w:val="24"/>
          <w:vertAlign w:val="subscript"/>
        </w:rPr>
        <w:t>2</w:t>
      </w:r>
      <w:r w:rsidRPr="00BE0A6A">
        <w:rPr>
          <w:rFonts w:cs="B Nazanin"/>
          <w:szCs w:val="24"/>
          <w:rtl/>
        </w:rPr>
        <w:t xml:space="preserve">: </w:t>
      </w:r>
      <w:r w:rsidRPr="00BE0A6A">
        <w:rPr>
          <w:rtl/>
        </w:rPr>
        <w:t>پوشش اراض</w:t>
      </w:r>
      <w:r w:rsidRPr="00BE0A6A">
        <w:rPr>
          <w:rFonts w:hint="cs"/>
          <w:rtl/>
        </w:rPr>
        <w:t>ی</w:t>
      </w:r>
      <w:r>
        <w:rPr>
          <w:rFonts w:hint="cs"/>
          <w:rtl/>
        </w:rPr>
        <w:t xml:space="preserve">، </w:t>
      </w:r>
      <w:r w:rsidRPr="00BE0A6A">
        <w:rPr>
          <w:rFonts w:cs="B Nazanin"/>
          <w:szCs w:val="24"/>
        </w:rPr>
        <w:t>W</w:t>
      </w:r>
      <w:r w:rsidRPr="00BE0A6A">
        <w:rPr>
          <w:rFonts w:cs="B Nazanin"/>
          <w:szCs w:val="24"/>
          <w:vertAlign w:val="subscript"/>
        </w:rPr>
        <w:t>3</w:t>
      </w:r>
      <w:r w:rsidRPr="00BE0A6A">
        <w:rPr>
          <w:rFonts w:cs="B Nazanin"/>
          <w:szCs w:val="24"/>
          <w:rtl/>
        </w:rPr>
        <w:t xml:space="preserve">: </w:t>
      </w:r>
      <w:r w:rsidRPr="00BE0A6A">
        <w:rPr>
          <w:rtl/>
        </w:rPr>
        <w:t>فاصله از آبراهه‌ها</w:t>
      </w:r>
      <w:r>
        <w:rPr>
          <w:rFonts w:hint="cs"/>
          <w:rtl/>
        </w:rPr>
        <w:t xml:space="preserve">، </w:t>
      </w:r>
      <w:r w:rsidRPr="00BE0A6A">
        <w:rPr>
          <w:rFonts w:cs="B Nazanin"/>
          <w:szCs w:val="24"/>
        </w:rPr>
        <w:t>W</w:t>
      </w:r>
      <w:r w:rsidRPr="00BE0A6A">
        <w:rPr>
          <w:rFonts w:cs="B Nazanin"/>
          <w:szCs w:val="24"/>
          <w:vertAlign w:val="subscript"/>
        </w:rPr>
        <w:t>4</w:t>
      </w:r>
      <w:r w:rsidRPr="00BE0A6A">
        <w:rPr>
          <w:rFonts w:cs="B Nazanin"/>
          <w:szCs w:val="24"/>
          <w:rtl/>
        </w:rPr>
        <w:t xml:space="preserve">: </w:t>
      </w:r>
      <w:r w:rsidRPr="00BE0A6A">
        <w:rPr>
          <w:rtl/>
        </w:rPr>
        <w:t>فاصله از سکونتگاه‌ها</w:t>
      </w:r>
      <w:r>
        <w:rPr>
          <w:rFonts w:hint="cs"/>
          <w:rtl/>
        </w:rPr>
        <w:t xml:space="preserve">، </w:t>
      </w:r>
      <w:r w:rsidRPr="00BE0A6A">
        <w:rPr>
          <w:rFonts w:cs="B Nazanin"/>
          <w:szCs w:val="24"/>
        </w:rPr>
        <w:t>W</w:t>
      </w:r>
      <w:r w:rsidRPr="00BE0A6A">
        <w:rPr>
          <w:rFonts w:cs="B Nazanin"/>
          <w:szCs w:val="24"/>
          <w:vertAlign w:val="subscript"/>
        </w:rPr>
        <w:t>5</w:t>
      </w:r>
      <w:r w:rsidRPr="00BE0A6A">
        <w:rPr>
          <w:rFonts w:cs="B Nazanin"/>
          <w:szCs w:val="24"/>
          <w:rtl/>
        </w:rPr>
        <w:t xml:space="preserve">: </w:t>
      </w:r>
      <w:r w:rsidRPr="00BE0A6A">
        <w:rPr>
          <w:rtl/>
        </w:rPr>
        <w:t>فاصله از راه‌ها</w:t>
      </w:r>
      <w:r w:rsidRPr="00BE0A6A">
        <w:rPr>
          <w:rFonts w:hint="cs"/>
          <w:rtl/>
        </w:rPr>
        <w:t>ی</w:t>
      </w:r>
      <w:r w:rsidRPr="00BE0A6A">
        <w:rPr>
          <w:rtl/>
        </w:rPr>
        <w:t xml:space="preserve"> ارتباط</w:t>
      </w:r>
      <w:r w:rsidRPr="00BE0A6A">
        <w:rPr>
          <w:rFonts w:hint="cs"/>
          <w:rtl/>
        </w:rPr>
        <w:t>ی</w:t>
      </w:r>
      <w:r>
        <w:rPr>
          <w:rFonts w:hint="cs"/>
          <w:rtl/>
        </w:rPr>
        <w:t xml:space="preserve">، </w:t>
      </w:r>
      <w:r w:rsidRPr="00BE0A6A">
        <w:rPr>
          <w:rFonts w:cs="B Nazanin"/>
          <w:szCs w:val="24"/>
        </w:rPr>
        <w:t>W</w:t>
      </w:r>
      <w:r w:rsidRPr="00BE0A6A">
        <w:rPr>
          <w:rFonts w:cs="B Nazanin"/>
          <w:szCs w:val="24"/>
          <w:vertAlign w:val="subscript"/>
        </w:rPr>
        <w:t>6</w:t>
      </w:r>
      <w:r w:rsidRPr="00BE0A6A">
        <w:rPr>
          <w:rFonts w:cs="B Nazanin"/>
          <w:szCs w:val="24"/>
          <w:rtl/>
        </w:rPr>
        <w:t xml:space="preserve">: </w:t>
      </w:r>
      <w:r w:rsidRPr="00BE0A6A">
        <w:rPr>
          <w:rtl/>
        </w:rPr>
        <w:t>ش</w:t>
      </w:r>
      <w:r w:rsidRPr="00BE0A6A">
        <w:rPr>
          <w:rFonts w:hint="cs"/>
          <w:rtl/>
        </w:rPr>
        <w:t>ی</w:t>
      </w:r>
      <w:r w:rsidRPr="00BE0A6A">
        <w:rPr>
          <w:rFonts w:hint="eastAsia"/>
          <w:rtl/>
        </w:rPr>
        <w:t>ب</w:t>
      </w:r>
      <w:r w:rsidRPr="00BE0A6A">
        <w:rPr>
          <w:rtl/>
        </w:rPr>
        <w:t xml:space="preserve"> زم</w:t>
      </w:r>
      <w:r w:rsidRPr="00BE0A6A">
        <w:rPr>
          <w:rFonts w:hint="cs"/>
          <w:rtl/>
        </w:rPr>
        <w:t>ی</w:t>
      </w:r>
      <w:r w:rsidRPr="00BE0A6A">
        <w:rPr>
          <w:rFonts w:hint="eastAsia"/>
          <w:rtl/>
        </w:rPr>
        <w:t>ن</w:t>
      </w:r>
      <w:r>
        <w:rPr>
          <w:rFonts w:hint="cs"/>
          <w:rtl/>
        </w:rPr>
        <w:t xml:space="preserve"> و </w:t>
      </w:r>
      <w:r w:rsidRPr="00BE0A6A">
        <w:rPr>
          <w:rFonts w:cs="B Nazanin"/>
          <w:szCs w:val="24"/>
        </w:rPr>
        <w:t>W</w:t>
      </w:r>
      <w:r w:rsidRPr="00BE0A6A">
        <w:rPr>
          <w:rFonts w:cs="B Nazanin"/>
          <w:szCs w:val="24"/>
          <w:vertAlign w:val="subscript"/>
        </w:rPr>
        <w:t>7</w:t>
      </w:r>
      <w:r w:rsidRPr="00BE0A6A">
        <w:rPr>
          <w:rFonts w:cs="B Nazanin"/>
          <w:szCs w:val="24"/>
          <w:rtl/>
        </w:rPr>
        <w:t xml:space="preserve">: </w:t>
      </w:r>
      <w:r w:rsidRPr="00BE0A6A">
        <w:rPr>
          <w:rtl/>
        </w:rPr>
        <w:t>فاصله از مناطق حفاظت‌شده</w:t>
      </w:r>
      <w:r>
        <w:rPr>
          <w:rFonts w:hint="cs"/>
          <w:rtl/>
        </w:rPr>
        <w:t xml:space="preserve"> ‌باشند.</w:t>
      </w:r>
    </w:p>
    <w:p w14:paraId="78C9905A" w14:textId="77777777" w:rsidR="00B71118" w:rsidRDefault="00B71118" w:rsidP="00B71118">
      <w:pPr>
        <w:spacing w:after="40"/>
      </w:pPr>
      <w:r>
        <w:rPr>
          <w:rtl/>
        </w:rPr>
        <w:t>بنابراین، شاخص نهایی بیانگر ترکیب فضایی اهمیت نسبی معیارها و میزان تناسب هر سلول مکانی از منظر محیط‌زیستی است</w:t>
      </w:r>
      <w:r>
        <w:rPr>
          <w:rFonts w:hint="cs"/>
          <w:rtl/>
        </w:rPr>
        <w:t>.</w:t>
      </w:r>
    </w:p>
    <w:p w14:paraId="5E04698B" w14:textId="77777777" w:rsidR="00462C54" w:rsidRPr="00FB51C2" w:rsidRDefault="00462C54" w:rsidP="00FB51C2">
      <w:pPr>
        <w:pStyle w:val="Heading2"/>
        <w:rPr>
          <w:b w:val="0"/>
          <w:bCs w:val="0"/>
        </w:rPr>
      </w:pPr>
      <w:r w:rsidRPr="00FB51C2">
        <w:rPr>
          <w:b w:val="0"/>
          <w:bCs w:val="0"/>
          <w:rtl/>
        </w:rPr>
        <w:t>طبقه‌بندی نهایی شاخص تناسب محیط‌زیستی</w:t>
      </w:r>
    </w:p>
    <w:p w14:paraId="6A51D4AE" w14:textId="77777777" w:rsidR="00462C54" w:rsidRPr="00462C54" w:rsidRDefault="00462C54" w:rsidP="002F57D6">
      <w:pPr>
        <w:spacing w:after="40"/>
      </w:pPr>
      <w:r w:rsidRPr="00462C54">
        <w:rPr>
          <w:rtl/>
        </w:rPr>
        <w:t>شاخص پیوسته حاصل از</w:t>
      </w:r>
      <w:r w:rsidRPr="00462C54">
        <w:t xml:space="preserve"> Weighted Overlay </w:t>
      </w:r>
      <w:r w:rsidRPr="00462C54">
        <w:rPr>
          <w:rtl/>
        </w:rPr>
        <w:t xml:space="preserve">پس از تولید، برای تفسیر فضایی و ارائه خروجی قابل استفاده در برنامه‌ریزی، به پنج طبقه </w:t>
      </w:r>
      <w:r w:rsidR="002F57D6" w:rsidRPr="002F57D6">
        <w:rPr>
          <w:rtl/>
        </w:rPr>
        <w:t>بسیار نامناسب</w:t>
      </w:r>
      <w:r w:rsidR="002F57D6">
        <w:rPr>
          <w:rFonts w:hint="cs"/>
          <w:rtl/>
        </w:rPr>
        <w:t xml:space="preserve">، </w:t>
      </w:r>
      <w:r w:rsidR="002F57D6" w:rsidRPr="002F57D6">
        <w:rPr>
          <w:rtl/>
        </w:rPr>
        <w:t>نامناسب</w:t>
      </w:r>
      <w:r w:rsidR="002F57D6">
        <w:rPr>
          <w:rFonts w:hint="cs"/>
          <w:rtl/>
        </w:rPr>
        <w:t xml:space="preserve">، </w:t>
      </w:r>
      <w:r w:rsidR="002F57D6" w:rsidRPr="002F57D6">
        <w:rPr>
          <w:rtl/>
        </w:rPr>
        <w:t>متوسط</w:t>
      </w:r>
      <w:r w:rsidR="002F57D6">
        <w:rPr>
          <w:rFonts w:hint="cs"/>
          <w:rtl/>
        </w:rPr>
        <w:t xml:space="preserve">، </w:t>
      </w:r>
      <w:r w:rsidR="002F57D6" w:rsidRPr="002F57D6">
        <w:rPr>
          <w:rtl/>
        </w:rPr>
        <w:t>مناسب</w:t>
      </w:r>
      <w:r w:rsidR="002F57D6">
        <w:rPr>
          <w:rFonts w:hint="cs"/>
          <w:rtl/>
        </w:rPr>
        <w:t xml:space="preserve"> و </w:t>
      </w:r>
      <w:r w:rsidR="002F57D6" w:rsidRPr="002F57D6">
        <w:rPr>
          <w:rtl/>
        </w:rPr>
        <w:t>بسیار مناسب</w:t>
      </w:r>
      <w:r w:rsidR="002F57D6">
        <w:rPr>
          <w:rFonts w:hint="cs"/>
          <w:rtl/>
        </w:rPr>
        <w:t>،</w:t>
      </w:r>
      <w:r w:rsidR="002F57D6" w:rsidRPr="00462C54">
        <w:rPr>
          <w:rtl/>
        </w:rPr>
        <w:t xml:space="preserve"> </w:t>
      </w:r>
      <w:r w:rsidRPr="00462C54">
        <w:rPr>
          <w:rtl/>
        </w:rPr>
        <w:t>تناسب محیط‌زیستی تقسیم شد</w:t>
      </w:r>
      <w:r w:rsidR="002F57D6">
        <w:rPr>
          <w:rFonts w:hint="cs"/>
          <w:rtl/>
        </w:rPr>
        <w:t>.</w:t>
      </w:r>
    </w:p>
    <w:p w14:paraId="60591996" w14:textId="77777777" w:rsidR="002F57D6" w:rsidRDefault="00462C54" w:rsidP="002F57D6">
      <w:pPr>
        <w:spacing w:after="60"/>
        <w:rPr>
          <w:rtl/>
        </w:rPr>
      </w:pPr>
      <w:r>
        <w:rPr>
          <w:rtl/>
        </w:rPr>
        <w:t xml:space="preserve">این طبقه‌بندی امکان تفکیک پهنه‌های دارای محدودیت شدید، محدودیت متوسط و ظرفیت بیشتر برای توسعه را فراهم می‌کند و خروجی نهایی مدل را به یک ابزار تصمیم‌یار مکانی تبدیل می‌نماید. این طبقه‌بندی بیانگر تناسب نسبی </w:t>
      </w:r>
      <w:r>
        <w:rPr>
          <w:rtl/>
        </w:rPr>
        <w:lastRenderedPageBreak/>
        <w:t>در چارچوب معیارها و وزن‌های انتخاب‌شده است و به‌معنای ظرفیت برد اکولوژیک، مجوز قانونی یا مجاز بودن قطعی توسعه معدن نیست.</w:t>
      </w:r>
    </w:p>
    <w:tbl>
      <w:tblPr>
        <w:bidiVisual/>
        <w:tblW w:w="0" w:type="auto"/>
        <w:tblLook w:val="04A0" w:firstRow="1" w:lastRow="0" w:firstColumn="1" w:lastColumn="0" w:noHBand="0" w:noVBand="1"/>
      </w:tblPr>
      <w:tblGrid>
        <w:gridCol w:w="9072"/>
      </w:tblGrid>
      <w:tr w:rsidR="002F57D6" w:rsidRPr="00DB3CBB" w14:paraId="4A212FEE" w14:textId="77777777" w:rsidTr="00FD6CD7">
        <w:tc>
          <w:tcPr>
            <w:tcW w:w="9072" w:type="dxa"/>
          </w:tcPr>
          <w:p w14:paraId="55376B6E" w14:textId="77777777" w:rsidR="002F57D6" w:rsidRPr="00DB3CBB" w:rsidRDefault="00324B4D" w:rsidP="003A1748">
            <w:pPr>
              <w:ind w:firstLine="0"/>
              <w:jc w:val="center"/>
              <w:rPr>
                <w:rtl/>
                <w:lang w:bidi="fa-IR"/>
              </w:rPr>
            </w:pPr>
            <w:r w:rsidRPr="00324B4D">
              <w:rPr>
                <w:noProof/>
                <w:sz w:val="19"/>
                <w:rtl/>
              </w:rPr>
              <w:drawing>
                <wp:inline distT="0" distB="0" distL="0" distR="0" wp14:anchorId="38A8A29F" wp14:editId="0FF23DCA">
                  <wp:extent cx="3924000" cy="3924000"/>
                  <wp:effectExtent l="114300" t="114300" r="133985" b="1530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924000" cy="3924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2F57D6" w:rsidRPr="00DB3CBB" w14:paraId="73F477EF" w14:textId="77777777" w:rsidTr="00FD6CD7">
        <w:tc>
          <w:tcPr>
            <w:tcW w:w="9072" w:type="dxa"/>
          </w:tcPr>
          <w:p w14:paraId="7638968C" w14:textId="77777777" w:rsidR="002F57D6" w:rsidRPr="00FD6CD7" w:rsidRDefault="002F57D6" w:rsidP="003A1748">
            <w:pPr>
              <w:ind w:firstLine="0"/>
              <w:jc w:val="center"/>
              <w:rPr>
                <w:sz w:val="16"/>
                <w:szCs w:val="20"/>
                <w:rtl/>
                <w:lang w:bidi="fa-IR"/>
              </w:rPr>
            </w:pPr>
            <w:r w:rsidRPr="00FD6CD7">
              <w:rPr>
                <w:sz w:val="19"/>
                <w:szCs w:val="20"/>
                <w:rtl/>
              </w:rPr>
              <w:t>شکل 2</w:t>
            </w:r>
            <w:r w:rsidR="00FD6CD7">
              <w:rPr>
                <w:rFonts w:hint="cs"/>
                <w:sz w:val="19"/>
                <w:szCs w:val="20"/>
                <w:rtl/>
              </w:rPr>
              <w:t>:</w:t>
            </w:r>
            <w:r w:rsidRPr="00FD6CD7">
              <w:rPr>
                <w:sz w:val="19"/>
                <w:szCs w:val="20"/>
                <w:rtl/>
              </w:rPr>
              <w:t xml:space="preserve"> ساختار سلسله‌مراتبی مدل تصمیم‌گیری</w:t>
            </w:r>
            <w:r w:rsidRPr="00FD6CD7">
              <w:rPr>
                <w:sz w:val="19"/>
                <w:szCs w:val="20"/>
              </w:rPr>
              <w:t xml:space="preserve"> GIS–AHP </w:t>
            </w:r>
            <w:r w:rsidRPr="00FD6CD7">
              <w:rPr>
                <w:sz w:val="19"/>
                <w:szCs w:val="20"/>
                <w:rtl/>
              </w:rPr>
              <w:t>برای ارزیابی راهبردی محیط‌زیست توسعه معدن مس سونگون</w:t>
            </w:r>
          </w:p>
        </w:tc>
      </w:tr>
      <w:tr w:rsidR="00FD6CD7" w:rsidRPr="00DB3CBB" w14:paraId="0AF83628" w14:textId="77777777" w:rsidTr="00FD6CD7">
        <w:tc>
          <w:tcPr>
            <w:tcW w:w="9072" w:type="dxa"/>
          </w:tcPr>
          <w:p w14:paraId="04AA0E6E" w14:textId="77777777" w:rsidR="00FD6CD7" w:rsidRPr="00FD6CD7" w:rsidRDefault="00FD6CD7" w:rsidP="003A1748">
            <w:pPr>
              <w:ind w:firstLine="0"/>
              <w:jc w:val="center"/>
              <w:rPr>
                <w:sz w:val="19"/>
                <w:szCs w:val="20"/>
                <w:rtl/>
              </w:rPr>
            </w:pPr>
            <w:r w:rsidRPr="00FD6CD7">
              <w:rPr>
                <w:sz w:val="19"/>
                <w:szCs w:val="20"/>
              </w:rPr>
              <w:t>Figure 2: Hierarchical structure of the GIS–AHP decision model for the Strategic Environmental Assessment of Sungun Copper Mine development</w:t>
            </w:r>
          </w:p>
        </w:tc>
      </w:tr>
    </w:tbl>
    <w:p w14:paraId="6F4245BD" w14:textId="77777777" w:rsidR="00462C54" w:rsidRDefault="00462C54" w:rsidP="002F57D6">
      <w:pPr>
        <w:spacing w:after="40"/>
        <w:rPr>
          <w:rtl/>
          <w:lang w:bidi="fa-IR"/>
        </w:rPr>
      </w:pPr>
      <w:r w:rsidRPr="00462C54">
        <w:t xml:space="preserve"> </w:t>
      </w:r>
    </w:p>
    <w:p w14:paraId="5C7A601D" w14:textId="77777777" w:rsidR="00462C54" w:rsidRPr="00FB51C2" w:rsidRDefault="00462C54" w:rsidP="00FD6CD7">
      <w:pPr>
        <w:pStyle w:val="Heading2"/>
        <w:rPr>
          <w:b w:val="0"/>
          <w:bCs w:val="0"/>
        </w:rPr>
      </w:pPr>
      <w:r w:rsidRPr="00FB51C2">
        <w:rPr>
          <w:b w:val="0"/>
          <w:bCs w:val="0"/>
          <w:rtl/>
        </w:rPr>
        <w:t>تولید نقشه‌های معیارهای استانداردشده</w:t>
      </w:r>
    </w:p>
    <w:p w14:paraId="5DC62D7F" w14:textId="77777777" w:rsidR="00462C54" w:rsidRDefault="00462C54" w:rsidP="002112C3">
      <w:pPr>
        <w:spacing w:after="40"/>
        <w:rPr>
          <w:rtl/>
        </w:rPr>
      </w:pPr>
      <w:r w:rsidRPr="00462C54">
        <w:rPr>
          <w:rtl/>
        </w:rPr>
        <w:t>به‌منظور بررسی رفتار فضایی معیارها و فراهم کردن امکان کنترل کیفی مدل، نقشه استانداردشده هر هفت معیار تولید شد</w:t>
      </w:r>
      <w:r w:rsidR="00FD6CD7">
        <w:rPr>
          <w:rFonts w:hint="cs"/>
          <w:rtl/>
        </w:rPr>
        <w:t>(شکل 3)</w:t>
      </w:r>
      <w:r w:rsidRPr="00462C54">
        <w:rPr>
          <w:rtl/>
        </w:rPr>
        <w:t>. این نقشه‌ها نشان‌دهنده توزیع مکانی امتیازهای 1 تا 5 معیارهای محیط‌زیستی در محدوده مطالعه هستند</w:t>
      </w:r>
      <w:r w:rsidRPr="00462C54">
        <w:t>.</w:t>
      </w:r>
    </w:p>
    <w:tbl>
      <w:tblPr>
        <w:bidiVisual/>
        <w:tblW w:w="5000" w:type="pct"/>
        <w:tblLook w:val="04A0" w:firstRow="1" w:lastRow="0" w:firstColumn="1" w:lastColumn="0" w:noHBand="0" w:noVBand="1"/>
      </w:tblPr>
      <w:tblGrid>
        <w:gridCol w:w="9072"/>
      </w:tblGrid>
      <w:tr w:rsidR="00324B4D" w:rsidRPr="00487110" w14:paraId="371B96AB" w14:textId="77777777" w:rsidTr="003A1748">
        <w:tc>
          <w:tcPr>
            <w:tcW w:w="5000" w:type="pct"/>
          </w:tcPr>
          <w:p w14:paraId="16CC4FBC" w14:textId="1D9CBFCF" w:rsidR="00324B4D" w:rsidRPr="00487110" w:rsidRDefault="00B71118" w:rsidP="003A1748">
            <w:pPr>
              <w:ind w:firstLine="0"/>
              <w:jc w:val="center"/>
              <w:rPr>
                <w:rFonts w:hint="cs"/>
                <w:b/>
                <w:bCs/>
                <w:color w:val="FF0000"/>
                <w:rtl/>
                <w:lang w:bidi="fa-IR"/>
              </w:rPr>
            </w:pPr>
            <w:r>
              <w:rPr>
                <w:rFonts w:hint="cs"/>
                <w:b/>
                <w:bCs/>
                <w:noProof/>
                <w:color w:val="FF0000"/>
                <w:rtl/>
                <w:lang w:val="fa-IR" w:bidi="fa-IR"/>
              </w:rPr>
              <w:lastRenderedPageBreak/>
              <w:drawing>
                <wp:inline distT="0" distB="0" distL="0" distR="0" wp14:anchorId="21773B72" wp14:editId="43EB53EB">
                  <wp:extent cx="4196497" cy="2880000"/>
                  <wp:effectExtent l="0" t="0" r="0" b="0"/>
                  <wp:docPr id="1613724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724922" name="Picture 161372492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196497" cy="2880000"/>
                          </a:xfrm>
                          <a:prstGeom prst="rect">
                            <a:avLst/>
                          </a:prstGeom>
                        </pic:spPr>
                      </pic:pic>
                    </a:graphicData>
                  </a:graphic>
                </wp:inline>
              </w:drawing>
            </w:r>
          </w:p>
        </w:tc>
      </w:tr>
      <w:tr w:rsidR="00324B4D" w:rsidRPr="00487110" w14:paraId="3BDE7AA6" w14:textId="77777777" w:rsidTr="003A1748">
        <w:tc>
          <w:tcPr>
            <w:tcW w:w="5000" w:type="pct"/>
          </w:tcPr>
          <w:p w14:paraId="387000E1" w14:textId="77777777" w:rsidR="00324B4D" w:rsidRPr="00487110" w:rsidRDefault="00324B4D" w:rsidP="003A1748">
            <w:pPr>
              <w:jc w:val="center"/>
            </w:pPr>
            <w:r w:rsidRPr="00487110">
              <w:rPr>
                <w:sz w:val="19"/>
                <w:szCs w:val="22"/>
                <w:rtl/>
              </w:rPr>
              <w:t xml:space="preserve">شکل </w:t>
            </w:r>
            <w:r>
              <w:rPr>
                <w:rFonts w:hint="cs"/>
                <w:sz w:val="19"/>
                <w:szCs w:val="22"/>
                <w:rtl/>
              </w:rPr>
              <w:t>3</w:t>
            </w:r>
            <w:r w:rsidRPr="00487110">
              <w:rPr>
                <w:sz w:val="19"/>
                <w:szCs w:val="22"/>
              </w:rPr>
              <w:t xml:space="preserve">. </w:t>
            </w:r>
            <w:r w:rsidRPr="00487110">
              <w:rPr>
                <w:sz w:val="19"/>
                <w:szCs w:val="22"/>
                <w:rtl/>
              </w:rPr>
              <w:t xml:space="preserve">نقشه‌های استانداردشده هفت معیار </w:t>
            </w:r>
            <w:r>
              <w:rPr>
                <w:sz w:val="19"/>
                <w:szCs w:val="22"/>
                <w:rtl/>
              </w:rPr>
              <w:t>محیط‌زیستی</w:t>
            </w:r>
          </w:p>
        </w:tc>
      </w:tr>
      <w:tr w:rsidR="00FD6CD7" w:rsidRPr="00487110" w14:paraId="5A508B88" w14:textId="77777777" w:rsidTr="003A1748">
        <w:tc>
          <w:tcPr>
            <w:tcW w:w="5000" w:type="pct"/>
          </w:tcPr>
          <w:p w14:paraId="61141402" w14:textId="77777777" w:rsidR="00FD6CD7" w:rsidRPr="00FD6CD7" w:rsidRDefault="00FD6CD7" w:rsidP="003A1748">
            <w:pPr>
              <w:jc w:val="center"/>
              <w:rPr>
                <w:sz w:val="19"/>
                <w:szCs w:val="22"/>
                <w:rtl/>
              </w:rPr>
            </w:pPr>
            <w:r w:rsidRPr="00FD6CD7">
              <w:rPr>
                <w:sz w:val="19"/>
                <w:szCs w:val="22"/>
              </w:rPr>
              <w:t>Figure 3: Standardized maps of the seven environmental criteria</w:t>
            </w:r>
          </w:p>
        </w:tc>
      </w:tr>
    </w:tbl>
    <w:p w14:paraId="5F05D571" w14:textId="77777777" w:rsidR="00462C54" w:rsidRPr="00FB51C2" w:rsidRDefault="00462C54" w:rsidP="0004441F">
      <w:pPr>
        <w:pStyle w:val="Heading2"/>
        <w:rPr>
          <w:b w:val="0"/>
          <w:bCs w:val="0"/>
        </w:rPr>
      </w:pPr>
      <w:r w:rsidRPr="00462C54">
        <w:t xml:space="preserve"> </w:t>
      </w:r>
      <w:r w:rsidRPr="00FB51C2">
        <w:rPr>
          <w:b w:val="0"/>
          <w:bCs w:val="0"/>
          <w:rtl/>
        </w:rPr>
        <w:t xml:space="preserve">تولید نقشه </w:t>
      </w:r>
      <w:r w:rsidRPr="00FB51C2">
        <w:rPr>
          <w:b w:val="0"/>
          <w:bCs w:val="0"/>
          <w:szCs w:val="21"/>
          <w:rtl/>
        </w:rPr>
        <w:t>نهایی</w:t>
      </w:r>
      <w:r w:rsidRPr="00FB51C2">
        <w:rPr>
          <w:b w:val="0"/>
          <w:bCs w:val="0"/>
          <w:rtl/>
        </w:rPr>
        <w:t xml:space="preserve"> تناسب محیط‌زیستی</w:t>
      </w:r>
    </w:p>
    <w:p w14:paraId="7DDA459C" w14:textId="77777777" w:rsidR="00462C54" w:rsidRPr="00462C54" w:rsidRDefault="00462C54" w:rsidP="00E02FA9">
      <w:pPr>
        <w:spacing w:after="40"/>
      </w:pPr>
      <w:r w:rsidRPr="00462C54">
        <w:rPr>
          <w:rtl/>
        </w:rPr>
        <w:t>در مرحله نهایی، شاخص پیوسته تناسب محیط‌زیستی پس از اعمال وزن‌های</w:t>
      </w:r>
      <w:r w:rsidRPr="00462C54">
        <w:t xml:space="preserve"> AHP </w:t>
      </w:r>
      <w:r w:rsidRPr="00462C54">
        <w:rPr>
          <w:rtl/>
        </w:rPr>
        <w:t>و تلفیق لایه‌ها، به طبقات نهایی تناسب تبدیل شد. این نقشه، خروجی اصلی مدل</w:t>
      </w:r>
      <w:r w:rsidRPr="00462C54">
        <w:t xml:space="preserve"> GIS–AHP–SEA </w:t>
      </w:r>
      <w:r w:rsidRPr="00462C54">
        <w:rPr>
          <w:rtl/>
        </w:rPr>
        <w:t>محسوب می‌شود و توزیع فضایی پهنه‌های دارای درجات مختلف تناسب برای توسعه معدن مس سونگون را نمایش می‌دهد</w:t>
      </w:r>
      <w:r w:rsidRPr="00462C54">
        <w:t>.</w:t>
      </w:r>
    </w:p>
    <w:tbl>
      <w:tblPr>
        <w:bidiVisual/>
        <w:tblW w:w="5000" w:type="pct"/>
        <w:tblLook w:val="04A0" w:firstRow="1" w:lastRow="0" w:firstColumn="1" w:lastColumn="0" w:noHBand="0" w:noVBand="1"/>
      </w:tblPr>
      <w:tblGrid>
        <w:gridCol w:w="9072"/>
      </w:tblGrid>
      <w:tr w:rsidR="00E93E56" w:rsidRPr="008A1E69" w14:paraId="4DEDD06F" w14:textId="77777777" w:rsidTr="00DE171E">
        <w:tc>
          <w:tcPr>
            <w:tcW w:w="5000" w:type="pct"/>
            <w:vAlign w:val="center"/>
          </w:tcPr>
          <w:p w14:paraId="39AD71A6" w14:textId="70E37191" w:rsidR="00E93E56" w:rsidRPr="008A1E69" w:rsidRDefault="00DE171E" w:rsidP="00DE171E">
            <w:pPr>
              <w:ind w:firstLine="567"/>
              <w:jc w:val="center"/>
              <w:rPr>
                <w:sz w:val="20"/>
                <w:szCs w:val="24"/>
                <w:rtl/>
                <w:lang w:bidi="fa-IR"/>
              </w:rPr>
            </w:pPr>
            <w:r>
              <w:rPr>
                <w:noProof/>
                <w:sz w:val="20"/>
                <w:szCs w:val="24"/>
                <w:rtl/>
                <w:lang w:val="fa-IR" w:bidi="fa-IR"/>
              </w:rPr>
              <w:drawing>
                <wp:inline distT="0" distB="0" distL="0" distR="0" wp14:anchorId="6088B0E0" wp14:editId="7B52B27B">
                  <wp:extent cx="4072844" cy="2880000"/>
                  <wp:effectExtent l="0" t="0" r="4445" b="0"/>
                  <wp:docPr id="2148547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854769" name="Picture 21485476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72844" cy="2880000"/>
                          </a:xfrm>
                          <a:prstGeom prst="rect">
                            <a:avLst/>
                          </a:prstGeom>
                        </pic:spPr>
                      </pic:pic>
                    </a:graphicData>
                  </a:graphic>
                </wp:inline>
              </w:drawing>
            </w:r>
          </w:p>
        </w:tc>
      </w:tr>
      <w:tr w:rsidR="00E93E56" w:rsidRPr="008A1E69" w14:paraId="4942845E" w14:textId="77777777" w:rsidTr="00E93E56">
        <w:tc>
          <w:tcPr>
            <w:tcW w:w="5000" w:type="pct"/>
            <w:vAlign w:val="center"/>
          </w:tcPr>
          <w:p w14:paraId="37621814" w14:textId="77777777" w:rsidR="00E93E56" w:rsidRPr="00E70E90" w:rsidRDefault="00E93E56" w:rsidP="004A393F">
            <w:pPr>
              <w:ind w:firstLine="0"/>
              <w:jc w:val="center"/>
              <w:rPr>
                <w:sz w:val="20"/>
                <w:szCs w:val="20"/>
                <w:rtl/>
              </w:rPr>
            </w:pPr>
            <w:r w:rsidRPr="00E70E90">
              <w:rPr>
                <w:rFonts w:hint="eastAsia"/>
                <w:sz w:val="19"/>
                <w:szCs w:val="20"/>
                <w:rtl/>
              </w:rPr>
              <w:t>شکل</w:t>
            </w:r>
            <w:r w:rsidRPr="00E70E90">
              <w:rPr>
                <w:sz w:val="19"/>
                <w:szCs w:val="20"/>
                <w:rtl/>
              </w:rPr>
              <w:t xml:space="preserve"> </w:t>
            </w:r>
            <w:r w:rsidR="004A393F" w:rsidRPr="00E70E90">
              <w:rPr>
                <w:rFonts w:hint="cs"/>
                <w:sz w:val="19"/>
                <w:szCs w:val="20"/>
                <w:rtl/>
              </w:rPr>
              <w:t>4</w:t>
            </w:r>
            <w:r w:rsidR="00E70E90">
              <w:rPr>
                <w:rFonts w:hint="cs"/>
                <w:sz w:val="19"/>
                <w:szCs w:val="20"/>
                <w:rtl/>
              </w:rPr>
              <w:t>:</w:t>
            </w:r>
            <w:r w:rsidRPr="00E70E90">
              <w:rPr>
                <w:sz w:val="19"/>
                <w:szCs w:val="20"/>
                <w:rtl/>
              </w:rPr>
              <w:t xml:space="preserve"> </w:t>
            </w:r>
            <w:r w:rsidRPr="00E70E90">
              <w:rPr>
                <w:rFonts w:hint="cs"/>
                <w:sz w:val="19"/>
                <w:szCs w:val="20"/>
                <w:rtl/>
                <w:lang w:bidi="fa-IR"/>
              </w:rPr>
              <w:t>نقشه پهنه‌بندی</w:t>
            </w:r>
            <w:r w:rsidRPr="00E70E90">
              <w:rPr>
                <w:sz w:val="19"/>
                <w:szCs w:val="20"/>
                <w:rtl/>
              </w:rPr>
              <w:t xml:space="preserve"> تناسب محیط‌زیستی (</w:t>
            </w:r>
            <w:r w:rsidRPr="00E70E90">
              <w:rPr>
                <w:sz w:val="19"/>
                <w:szCs w:val="18"/>
              </w:rPr>
              <w:t>SEA Suitability Classes</w:t>
            </w:r>
            <w:r w:rsidRPr="00E70E90">
              <w:rPr>
                <w:sz w:val="19"/>
                <w:szCs w:val="20"/>
                <w:rtl/>
              </w:rPr>
              <w:t>) و طبقه‌بند</w:t>
            </w:r>
            <w:r w:rsidRPr="00E70E90">
              <w:rPr>
                <w:rFonts w:hint="cs"/>
                <w:sz w:val="19"/>
                <w:szCs w:val="20"/>
                <w:rtl/>
              </w:rPr>
              <w:t>ی</w:t>
            </w:r>
            <w:r w:rsidRPr="00E70E90">
              <w:rPr>
                <w:sz w:val="19"/>
                <w:szCs w:val="20"/>
                <w:rtl/>
              </w:rPr>
              <w:t xml:space="preserve"> نها</w:t>
            </w:r>
            <w:r w:rsidRPr="00E70E90">
              <w:rPr>
                <w:rFonts w:hint="cs"/>
                <w:sz w:val="19"/>
                <w:szCs w:val="20"/>
                <w:rtl/>
              </w:rPr>
              <w:t>یی</w:t>
            </w:r>
            <w:r w:rsidRPr="00E70E90">
              <w:rPr>
                <w:sz w:val="19"/>
                <w:szCs w:val="20"/>
                <w:rtl/>
              </w:rPr>
              <w:t xml:space="preserve"> پهنه‌ها</w:t>
            </w:r>
            <w:r w:rsidRPr="00E70E90">
              <w:rPr>
                <w:rFonts w:hint="cs"/>
                <w:sz w:val="19"/>
                <w:szCs w:val="20"/>
                <w:rtl/>
              </w:rPr>
              <w:t>ی</w:t>
            </w:r>
            <w:r w:rsidRPr="00E70E90">
              <w:rPr>
                <w:sz w:val="19"/>
                <w:szCs w:val="20"/>
                <w:rtl/>
              </w:rPr>
              <w:t xml:space="preserve"> توسعه معدن مس سونگون</w:t>
            </w:r>
          </w:p>
        </w:tc>
      </w:tr>
      <w:tr w:rsidR="00E70E90" w:rsidRPr="008A1E69" w14:paraId="0F9C18AA" w14:textId="77777777" w:rsidTr="00E93E56">
        <w:tc>
          <w:tcPr>
            <w:tcW w:w="5000" w:type="pct"/>
            <w:vAlign w:val="center"/>
          </w:tcPr>
          <w:p w14:paraId="17DCE078" w14:textId="77777777" w:rsidR="00E70E90" w:rsidRPr="00E70E90" w:rsidRDefault="00E70E90" w:rsidP="004A393F">
            <w:pPr>
              <w:ind w:firstLine="0"/>
              <w:jc w:val="center"/>
              <w:rPr>
                <w:sz w:val="19"/>
                <w:szCs w:val="20"/>
                <w:rtl/>
              </w:rPr>
            </w:pPr>
            <w:r w:rsidRPr="00DA5219">
              <w:rPr>
                <w:sz w:val="18"/>
                <w:szCs w:val="18"/>
              </w:rPr>
              <w:t>Figure 4: Environmental suitability map (SEA Suitability Classes) and final classification of mining development zones</w:t>
            </w:r>
          </w:p>
        </w:tc>
      </w:tr>
    </w:tbl>
    <w:p w14:paraId="726AE6A8" w14:textId="77777777" w:rsidR="00462C54" w:rsidRPr="00FB51C2" w:rsidRDefault="00462C54" w:rsidP="00FB51C2">
      <w:pPr>
        <w:pStyle w:val="Heading2"/>
        <w:rPr>
          <w:b w:val="0"/>
          <w:bCs w:val="0"/>
          <w:rtl/>
          <w:lang w:bidi="fa-IR"/>
        </w:rPr>
      </w:pPr>
      <w:r w:rsidRPr="00462C54">
        <w:t xml:space="preserve"> </w:t>
      </w:r>
      <w:r w:rsidRPr="00FB51C2">
        <w:rPr>
          <w:b w:val="0"/>
          <w:bCs w:val="0"/>
          <w:rtl/>
        </w:rPr>
        <w:t>محاسبه مساحت و سهم طبقات تناسب</w:t>
      </w:r>
    </w:p>
    <w:p w14:paraId="0A1F9E04" w14:textId="77777777" w:rsidR="00462C54" w:rsidRPr="00462C54" w:rsidRDefault="00462C54" w:rsidP="00E02FA9">
      <w:pPr>
        <w:spacing w:after="40"/>
      </w:pPr>
      <w:r w:rsidRPr="00462C54">
        <w:rPr>
          <w:rtl/>
        </w:rPr>
        <w:t>پس از تولید نقشه نهایی، مساحت هر یک از پنج طبقه تناسب محیط‌زیستی محاسبه و سهم نسبی آنها از کل محدوده مطالعه تعیین شد. این محاسبه امکان ارزیابی کمی ظرفیت و محدودیت فضایی منطقه را فراهم کرد</w:t>
      </w:r>
      <w:r w:rsidRPr="00462C54">
        <w:t>.</w:t>
      </w:r>
    </w:p>
    <w:p w14:paraId="79FDB0FA" w14:textId="77777777" w:rsidR="00E93E56" w:rsidRDefault="00462C54" w:rsidP="00E93E56">
      <w:pPr>
        <w:spacing w:after="40"/>
        <w:rPr>
          <w:rtl/>
        </w:rPr>
      </w:pPr>
      <w:r w:rsidRPr="00462C54">
        <w:rPr>
          <w:rtl/>
        </w:rPr>
        <w:lastRenderedPageBreak/>
        <w:t xml:space="preserve">مساحت کل محدوده مورد مطالعه برابر با </w:t>
      </w:r>
      <w:r w:rsidR="00E93E56" w:rsidRPr="00E93E56">
        <w:rPr>
          <w:rtl/>
        </w:rPr>
        <w:t>89</w:t>
      </w:r>
      <w:r w:rsidR="00E93E56" w:rsidRPr="00E93E56">
        <w:rPr>
          <w:rFonts w:hint="cs"/>
          <w:rtl/>
        </w:rPr>
        <w:t>/</w:t>
      </w:r>
      <w:r w:rsidR="00E93E56" w:rsidRPr="00E93E56">
        <w:rPr>
          <w:rtl/>
        </w:rPr>
        <w:t>6463</w:t>
      </w:r>
      <w:r w:rsidR="00E93E56">
        <w:rPr>
          <w:rFonts w:hint="cs"/>
          <w:rtl/>
        </w:rPr>
        <w:t xml:space="preserve"> </w:t>
      </w:r>
      <w:r w:rsidRPr="00E93E56">
        <w:rPr>
          <w:rtl/>
        </w:rPr>
        <w:t>هکتار</w:t>
      </w:r>
      <w:r w:rsidRPr="00462C54">
        <w:rPr>
          <w:rtl/>
        </w:rPr>
        <w:t xml:space="preserve"> بوده و مساحت و درصد هر طبقه در جدول </w:t>
      </w:r>
      <w:r w:rsidR="00E70E90">
        <w:rPr>
          <w:rFonts w:hint="cs"/>
          <w:rtl/>
        </w:rPr>
        <w:t>(3)</w:t>
      </w:r>
      <w:r w:rsidRPr="00462C54">
        <w:rPr>
          <w:rtl/>
        </w:rPr>
        <w:t xml:space="preserve"> ارائه شده است</w:t>
      </w:r>
      <w:r w:rsidR="00E93E56">
        <w:rPr>
          <w:rFonts w:hint="cs"/>
          <w:rtl/>
        </w:rPr>
        <w:t>.</w:t>
      </w:r>
    </w:p>
    <w:tbl>
      <w:tblPr>
        <w:tblStyle w:val="TableGrid"/>
        <w:bidiVisual/>
        <w:tblW w:w="5000" w:type="pct"/>
        <w:tblLook w:val="04A0" w:firstRow="1" w:lastRow="0" w:firstColumn="1" w:lastColumn="0" w:noHBand="0" w:noVBand="1"/>
      </w:tblPr>
      <w:tblGrid>
        <w:gridCol w:w="3681"/>
        <w:gridCol w:w="1444"/>
        <w:gridCol w:w="2273"/>
        <w:gridCol w:w="1664"/>
      </w:tblGrid>
      <w:tr w:rsidR="00E93E56" w:rsidRPr="005E7FF1" w14:paraId="5D8AFE95" w14:textId="77777777" w:rsidTr="003A1748">
        <w:tc>
          <w:tcPr>
            <w:tcW w:w="5000" w:type="pct"/>
            <w:gridSpan w:val="4"/>
          </w:tcPr>
          <w:p w14:paraId="147B6980" w14:textId="77777777" w:rsidR="00E93E56" w:rsidRPr="00EE43AD" w:rsidRDefault="00E93E56" w:rsidP="003A1748">
            <w:pPr>
              <w:jc w:val="center"/>
              <w:rPr>
                <w:b/>
                <w:bCs/>
                <w:sz w:val="18"/>
                <w:szCs w:val="22"/>
                <w:rtl/>
              </w:rPr>
            </w:pPr>
            <w:r w:rsidRPr="00EE43AD">
              <w:rPr>
                <w:rFonts w:hint="eastAsia"/>
                <w:b/>
                <w:bCs/>
                <w:sz w:val="19"/>
                <w:szCs w:val="22"/>
                <w:rtl/>
              </w:rPr>
              <w:t>جدول</w:t>
            </w:r>
            <w:r w:rsidRPr="00EE43AD">
              <w:rPr>
                <w:b/>
                <w:bCs/>
                <w:sz w:val="19"/>
                <w:szCs w:val="22"/>
                <w:rtl/>
              </w:rPr>
              <w:t xml:space="preserve"> </w:t>
            </w:r>
            <w:r w:rsidRPr="00EE43AD">
              <w:rPr>
                <w:rFonts w:hint="cs"/>
                <w:b/>
                <w:bCs/>
                <w:sz w:val="19"/>
                <w:szCs w:val="22"/>
                <w:rtl/>
              </w:rPr>
              <w:t>3</w:t>
            </w:r>
            <w:r w:rsidR="00E70E90">
              <w:rPr>
                <w:rFonts w:hint="cs"/>
                <w:b/>
                <w:bCs/>
                <w:sz w:val="19"/>
                <w:szCs w:val="22"/>
                <w:rtl/>
              </w:rPr>
              <w:t>-</w:t>
            </w:r>
            <w:r w:rsidRPr="00EE43AD">
              <w:rPr>
                <w:b/>
                <w:bCs/>
                <w:sz w:val="19"/>
                <w:szCs w:val="22"/>
                <w:rtl/>
              </w:rPr>
              <w:t xml:space="preserve"> مساحت و درصد طبقات نها</w:t>
            </w:r>
            <w:r w:rsidRPr="00EE43AD">
              <w:rPr>
                <w:rFonts w:hint="cs"/>
                <w:b/>
                <w:bCs/>
                <w:sz w:val="19"/>
                <w:szCs w:val="22"/>
                <w:rtl/>
              </w:rPr>
              <w:t>یی</w:t>
            </w:r>
            <w:r w:rsidRPr="00EE43AD">
              <w:rPr>
                <w:b/>
                <w:bCs/>
                <w:sz w:val="19"/>
                <w:szCs w:val="22"/>
                <w:rtl/>
              </w:rPr>
              <w:t xml:space="preserve"> تناسب محیط‌زیستی توسعه معدن مس سونگون</w:t>
            </w:r>
          </w:p>
        </w:tc>
      </w:tr>
      <w:tr w:rsidR="00E93E56" w:rsidRPr="005E7FF1" w14:paraId="43DB4569" w14:textId="77777777" w:rsidTr="003A1748">
        <w:tc>
          <w:tcPr>
            <w:tcW w:w="5000" w:type="pct"/>
            <w:gridSpan w:val="4"/>
          </w:tcPr>
          <w:p w14:paraId="385584FA" w14:textId="77777777" w:rsidR="00E93E56" w:rsidRDefault="00E93E56" w:rsidP="003A1748">
            <w:pPr>
              <w:bidi w:val="0"/>
            </w:pPr>
            <w:r w:rsidRPr="002D37D3">
              <w:rPr>
                <w:sz w:val="19"/>
              </w:rPr>
              <w:t>Table 3</w:t>
            </w:r>
            <w:r w:rsidR="00E70E90">
              <w:rPr>
                <w:rFonts w:hint="cs"/>
                <w:sz w:val="19"/>
                <w:rtl/>
              </w:rPr>
              <w:t>-</w:t>
            </w:r>
            <w:r w:rsidRPr="002D37D3">
              <w:rPr>
                <w:sz w:val="19"/>
              </w:rPr>
              <w:t xml:space="preserve"> Area and percentage of the final environmental suitability classes for the development of the Sungun Copper Mine</w:t>
            </w:r>
          </w:p>
        </w:tc>
      </w:tr>
      <w:tr w:rsidR="00E93E56" w:rsidRPr="005E7FF1" w14:paraId="1DA33E87" w14:textId="77777777" w:rsidTr="003A1748">
        <w:tc>
          <w:tcPr>
            <w:tcW w:w="2031" w:type="pct"/>
          </w:tcPr>
          <w:p w14:paraId="4E0297C6" w14:textId="77777777" w:rsidR="00E93E56" w:rsidRPr="00EE43AD" w:rsidRDefault="00E93E56" w:rsidP="003A1748">
            <w:pPr>
              <w:rPr>
                <w:sz w:val="20"/>
                <w:szCs w:val="22"/>
                <w:rtl/>
              </w:rPr>
            </w:pPr>
            <w:r w:rsidRPr="00EE43AD">
              <w:rPr>
                <w:rFonts w:hint="eastAsia"/>
                <w:sz w:val="19"/>
                <w:szCs w:val="22"/>
                <w:rtl/>
              </w:rPr>
              <w:t>طبقه</w:t>
            </w:r>
            <w:r w:rsidRPr="00EE43AD">
              <w:rPr>
                <w:sz w:val="19"/>
                <w:szCs w:val="22"/>
                <w:rtl/>
              </w:rPr>
              <w:t xml:space="preserve"> نها</w:t>
            </w:r>
            <w:r w:rsidRPr="00EE43AD">
              <w:rPr>
                <w:rFonts w:hint="cs"/>
                <w:sz w:val="19"/>
                <w:szCs w:val="22"/>
                <w:rtl/>
              </w:rPr>
              <w:t>یی</w:t>
            </w:r>
            <w:r w:rsidRPr="00EE43AD">
              <w:rPr>
                <w:sz w:val="19"/>
                <w:szCs w:val="22"/>
                <w:rtl/>
              </w:rPr>
              <w:t xml:space="preserve"> تناسب محیط‌زیستی</w:t>
            </w:r>
          </w:p>
        </w:tc>
        <w:tc>
          <w:tcPr>
            <w:tcW w:w="797" w:type="pct"/>
          </w:tcPr>
          <w:p w14:paraId="54855D79" w14:textId="77777777" w:rsidR="00E93E56" w:rsidRPr="00EE43AD" w:rsidRDefault="00E93E56" w:rsidP="003A1748">
            <w:pPr>
              <w:rPr>
                <w:sz w:val="20"/>
                <w:szCs w:val="22"/>
                <w:rtl/>
              </w:rPr>
            </w:pPr>
            <w:r w:rsidRPr="00EE43AD">
              <w:rPr>
                <w:sz w:val="19"/>
                <w:szCs w:val="22"/>
                <w:rtl/>
              </w:rPr>
              <w:t>کد طبقه</w:t>
            </w:r>
          </w:p>
        </w:tc>
        <w:tc>
          <w:tcPr>
            <w:tcW w:w="1254" w:type="pct"/>
          </w:tcPr>
          <w:p w14:paraId="1B5FBCEE" w14:textId="77777777" w:rsidR="00E93E56" w:rsidRPr="00EE43AD" w:rsidRDefault="00E93E56" w:rsidP="003A1748">
            <w:pPr>
              <w:rPr>
                <w:sz w:val="20"/>
                <w:szCs w:val="22"/>
                <w:rtl/>
              </w:rPr>
            </w:pPr>
            <w:r w:rsidRPr="00EE43AD">
              <w:rPr>
                <w:sz w:val="19"/>
                <w:szCs w:val="22"/>
                <w:rtl/>
              </w:rPr>
              <w:t>مساحت (هکتار)</w:t>
            </w:r>
          </w:p>
        </w:tc>
        <w:tc>
          <w:tcPr>
            <w:tcW w:w="918" w:type="pct"/>
          </w:tcPr>
          <w:p w14:paraId="42DFC55C" w14:textId="77777777" w:rsidR="00E93E56" w:rsidRPr="00EE43AD" w:rsidRDefault="00E93E56" w:rsidP="003A1748">
            <w:pPr>
              <w:rPr>
                <w:sz w:val="20"/>
                <w:szCs w:val="22"/>
                <w:rtl/>
              </w:rPr>
            </w:pPr>
            <w:r w:rsidRPr="00EE43AD">
              <w:rPr>
                <w:sz w:val="19"/>
                <w:szCs w:val="22"/>
                <w:rtl/>
              </w:rPr>
              <w:t>درصد (%)</w:t>
            </w:r>
          </w:p>
        </w:tc>
      </w:tr>
      <w:tr w:rsidR="00E93E56" w:rsidRPr="005E7FF1" w14:paraId="6F185936" w14:textId="77777777" w:rsidTr="003A1748">
        <w:tc>
          <w:tcPr>
            <w:tcW w:w="2031" w:type="pct"/>
          </w:tcPr>
          <w:p w14:paraId="1AA28E4C" w14:textId="77777777" w:rsidR="00E93E56" w:rsidRPr="00EE43AD" w:rsidRDefault="00E93E56" w:rsidP="003A1748">
            <w:pPr>
              <w:rPr>
                <w:sz w:val="20"/>
                <w:szCs w:val="22"/>
                <w:rtl/>
              </w:rPr>
            </w:pPr>
            <w:r w:rsidRPr="00EE43AD">
              <w:rPr>
                <w:rFonts w:hint="eastAsia"/>
                <w:sz w:val="19"/>
                <w:szCs w:val="22"/>
                <w:rtl/>
              </w:rPr>
              <w:t>بس</w:t>
            </w:r>
            <w:r w:rsidRPr="00EE43AD">
              <w:rPr>
                <w:rFonts w:hint="cs"/>
                <w:sz w:val="19"/>
                <w:szCs w:val="22"/>
                <w:rtl/>
              </w:rPr>
              <w:t>ی</w:t>
            </w:r>
            <w:r w:rsidRPr="00EE43AD">
              <w:rPr>
                <w:rFonts w:hint="eastAsia"/>
                <w:sz w:val="19"/>
                <w:szCs w:val="22"/>
                <w:rtl/>
              </w:rPr>
              <w:t>ار</w:t>
            </w:r>
            <w:r w:rsidRPr="00EE43AD">
              <w:rPr>
                <w:sz w:val="19"/>
                <w:szCs w:val="22"/>
                <w:rtl/>
              </w:rPr>
              <w:t xml:space="preserve"> نامناسب</w:t>
            </w:r>
          </w:p>
        </w:tc>
        <w:tc>
          <w:tcPr>
            <w:tcW w:w="797" w:type="pct"/>
          </w:tcPr>
          <w:p w14:paraId="6939B77F" w14:textId="77777777" w:rsidR="00E93E56" w:rsidRPr="00EE43AD" w:rsidRDefault="00E93E56" w:rsidP="003A1748">
            <w:pPr>
              <w:rPr>
                <w:sz w:val="20"/>
                <w:szCs w:val="22"/>
                <w:rtl/>
              </w:rPr>
            </w:pPr>
            <w:r w:rsidRPr="00EE43AD">
              <w:rPr>
                <w:sz w:val="19"/>
                <w:szCs w:val="22"/>
                <w:rtl/>
              </w:rPr>
              <w:t>1</w:t>
            </w:r>
          </w:p>
        </w:tc>
        <w:tc>
          <w:tcPr>
            <w:tcW w:w="1254" w:type="pct"/>
          </w:tcPr>
          <w:p w14:paraId="664184B0" w14:textId="77777777" w:rsidR="00E93E56" w:rsidRPr="00EE43AD" w:rsidRDefault="00E93E56" w:rsidP="003A1748">
            <w:pPr>
              <w:rPr>
                <w:sz w:val="20"/>
                <w:szCs w:val="22"/>
                <w:rtl/>
              </w:rPr>
            </w:pPr>
            <w:r w:rsidRPr="00EE43AD">
              <w:rPr>
                <w:sz w:val="19"/>
                <w:szCs w:val="22"/>
                <w:rtl/>
              </w:rPr>
              <w:t>26/1396</w:t>
            </w:r>
          </w:p>
        </w:tc>
        <w:tc>
          <w:tcPr>
            <w:tcW w:w="918" w:type="pct"/>
          </w:tcPr>
          <w:p w14:paraId="7A8C2FF2" w14:textId="77777777" w:rsidR="00E93E56" w:rsidRPr="00EE43AD" w:rsidRDefault="00E93E56" w:rsidP="003A1748">
            <w:pPr>
              <w:rPr>
                <w:sz w:val="20"/>
                <w:szCs w:val="22"/>
                <w:rtl/>
              </w:rPr>
            </w:pPr>
            <w:r w:rsidRPr="00EE43AD">
              <w:rPr>
                <w:sz w:val="19"/>
                <w:szCs w:val="22"/>
                <w:rtl/>
              </w:rPr>
              <w:t>60/21</w:t>
            </w:r>
          </w:p>
        </w:tc>
      </w:tr>
      <w:tr w:rsidR="00E93E56" w:rsidRPr="005E7FF1" w14:paraId="605F1CBB" w14:textId="77777777" w:rsidTr="003A1748">
        <w:tc>
          <w:tcPr>
            <w:tcW w:w="2031" w:type="pct"/>
          </w:tcPr>
          <w:p w14:paraId="14236807" w14:textId="77777777" w:rsidR="00E93E56" w:rsidRPr="00EE43AD" w:rsidRDefault="00E93E56" w:rsidP="003A1748">
            <w:pPr>
              <w:rPr>
                <w:sz w:val="20"/>
                <w:szCs w:val="22"/>
                <w:rtl/>
              </w:rPr>
            </w:pPr>
            <w:r w:rsidRPr="00EE43AD">
              <w:rPr>
                <w:rFonts w:hint="eastAsia"/>
                <w:sz w:val="19"/>
                <w:szCs w:val="22"/>
                <w:rtl/>
              </w:rPr>
              <w:t>نامناسب</w:t>
            </w:r>
          </w:p>
        </w:tc>
        <w:tc>
          <w:tcPr>
            <w:tcW w:w="797" w:type="pct"/>
          </w:tcPr>
          <w:p w14:paraId="2D5A8E50" w14:textId="77777777" w:rsidR="00E93E56" w:rsidRPr="00EE43AD" w:rsidRDefault="00E93E56" w:rsidP="003A1748">
            <w:pPr>
              <w:rPr>
                <w:sz w:val="20"/>
                <w:szCs w:val="22"/>
                <w:rtl/>
              </w:rPr>
            </w:pPr>
            <w:r w:rsidRPr="00EE43AD">
              <w:rPr>
                <w:sz w:val="19"/>
                <w:szCs w:val="22"/>
                <w:rtl/>
              </w:rPr>
              <w:t>2</w:t>
            </w:r>
          </w:p>
        </w:tc>
        <w:tc>
          <w:tcPr>
            <w:tcW w:w="1254" w:type="pct"/>
          </w:tcPr>
          <w:p w14:paraId="06126EA1" w14:textId="77777777" w:rsidR="00E93E56" w:rsidRPr="00EE43AD" w:rsidRDefault="00E93E56" w:rsidP="003A1748">
            <w:pPr>
              <w:rPr>
                <w:sz w:val="20"/>
                <w:szCs w:val="22"/>
                <w:rtl/>
              </w:rPr>
            </w:pPr>
            <w:r w:rsidRPr="00EE43AD">
              <w:rPr>
                <w:sz w:val="19"/>
                <w:szCs w:val="22"/>
                <w:rtl/>
              </w:rPr>
              <w:t>88/1856</w:t>
            </w:r>
          </w:p>
        </w:tc>
        <w:tc>
          <w:tcPr>
            <w:tcW w:w="918" w:type="pct"/>
          </w:tcPr>
          <w:p w14:paraId="0C2AC89E" w14:textId="77777777" w:rsidR="00E93E56" w:rsidRPr="00EE43AD" w:rsidRDefault="00E93E56" w:rsidP="003A1748">
            <w:pPr>
              <w:rPr>
                <w:sz w:val="20"/>
                <w:szCs w:val="22"/>
                <w:rtl/>
              </w:rPr>
            </w:pPr>
            <w:r w:rsidRPr="00EE43AD">
              <w:rPr>
                <w:sz w:val="19"/>
                <w:szCs w:val="22"/>
                <w:rtl/>
              </w:rPr>
              <w:t>73/28</w:t>
            </w:r>
          </w:p>
        </w:tc>
      </w:tr>
      <w:tr w:rsidR="00E93E56" w:rsidRPr="005E7FF1" w14:paraId="39F6EE96" w14:textId="77777777" w:rsidTr="003A1748">
        <w:tc>
          <w:tcPr>
            <w:tcW w:w="2031" w:type="pct"/>
          </w:tcPr>
          <w:p w14:paraId="3BDE08C7" w14:textId="77777777" w:rsidR="00E93E56" w:rsidRPr="00EE43AD" w:rsidRDefault="00E93E56" w:rsidP="003A1748">
            <w:pPr>
              <w:rPr>
                <w:sz w:val="20"/>
                <w:szCs w:val="22"/>
                <w:rtl/>
              </w:rPr>
            </w:pPr>
            <w:r w:rsidRPr="00EE43AD">
              <w:rPr>
                <w:rFonts w:hint="eastAsia"/>
                <w:sz w:val="19"/>
                <w:szCs w:val="22"/>
                <w:rtl/>
              </w:rPr>
              <w:t>متوسط</w:t>
            </w:r>
          </w:p>
        </w:tc>
        <w:tc>
          <w:tcPr>
            <w:tcW w:w="797" w:type="pct"/>
          </w:tcPr>
          <w:p w14:paraId="500381C6" w14:textId="77777777" w:rsidR="00E93E56" w:rsidRPr="00EE43AD" w:rsidRDefault="00E93E56" w:rsidP="003A1748">
            <w:pPr>
              <w:rPr>
                <w:sz w:val="20"/>
                <w:szCs w:val="22"/>
                <w:rtl/>
              </w:rPr>
            </w:pPr>
            <w:r w:rsidRPr="00EE43AD">
              <w:rPr>
                <w:sz w:val="19"/>
                <w:szCs w:val="22"/>
                <w:rtl/>
              </w:rPr>
              <w:t>3</w:t>
            </w:r>
          </w:p>
        </w:tc>
        <w:tc>
          <w:tcPr>
            <w:tcW w:w="1254" w:type="pct"/>
          </w:tcPr>
          <w:p w14:paraId="31966DB6" w14:textId="77777777" w:rsidR="00E93E56" w:rsidRPr="00EE43AD" w:rsidRDefault="00E93E56" w:rsidP="003A1748">
            <w:pPr>
              <w:rPr>
                <w:sz w:val="20"/>
                <w:szCs w:val="22"/>
                <w:rtl/>
              </w:rPr>
            </w:pPr>
            <w:r w:rsidRPr="00EE43AD">
              <w:rPr>
                <w:sz w:val="19"/>
                <w:szCs w:val="22"/>
                <w:rtl/>
              </w:rPr>
              <w:t>90/1809</w:t>
            </w:r>
          </w:p>
        </w:tc>
        <w:tc>
          <w:tcPr>
            <w:tcW w:w="918" w:type="pct"/>
          </w:tcPr>
          <w:p w14:paraId="72FB9E5B" w14:textId="77777777" w:rsidR="00E93E56" w:rsidRPr="00EE43AD" w:rsidRDefault="00E93E56" w:rsidP="003A1748">
            <w:pPr>
              <w:rPr>
                <w:sz w:val="20"/>
                <w:szCs w:val="22"/>
                <w:rtl/>
              </w:rPr>
            </w:pPr>
            <w:r w:rsidRPr="00EE43AD">
              <w:rPr>
                <w:sz w:val="19"/>
                <w:szCs w:val="22"/>
                <w:rtl/>
              </w:rPr>
              <w:t>00/28</w:t>
            </w:r>
          </w:p>
        </w:tc>
      </w:tr>
      <w:tr w:rsidR="00E93E56" w:rsidRPr="005E7FF1" w14:paraId="18D288B6" w14:textId="77777777" w:rsidTr="003A1748">
        <w:tc>
          <w:tcPr>
            <w:tcW w:w="2031" w:type="pct"/>
          </w:tcPr>
          <w:p w14:paraId="512BCF20" w14:textId="77777777" w:rsidR="00E93E56" w:rsidRPr="00EE43AD" w:rsidRDefault="00E93E56" w:rsidP="003A1748">
            <w:pPr>
              <w:rPr>
                <w:sz w:val="20"/>
                <w:szCs w:val="22"/>
                <w:rtl/>
              </w:rPr>
            </w:pPr>
            <w:r w:rsidRPr="00EE43AD">
              <w:rPr>
                <w:rFonts w:hint="eastAsia"/>
                <w:sz w:val="19"/>
                <w:szCs w:val="22"/>
                <w:rtl/>
              </w:rPr>
              <w:t>مناسب</w:t>
            </w:r>
          </w:p>
        </w:tc>
        <w:tc>
          <w:tcPr>
            <w:tcW w:w="797" w:type="pct"/>
          </w:tcPr>
          <w:p w14:paraId="18B5E847" w14:textId="77777777" w:rsidR="00E93E56" w:rsidRPr="00EE43AD" w:rsidRDefault="00E93E56" w:rsidP="003A1748">
            <w:pPr>
              <w:rPr>
                <w:sz w:val="20"/>
                <w:szCs w:val="22"/>
                <w:rtl/>
              </w:rPr>
            </w:pPr>
            <w:r w:rsidRPr="00EE43AD">
              <w:rPr>
                <w:sz w:val="19"/>
                <w:szCs w:val="22"/>
                <w:rtl/>
              </w:rPr>
              <w:t>4</w:t>
            </w:r>
          </w:p>
        </w:tc>
        <w:tc>
          <w:tcPr>
            <w:tcW w:w="1254" w:type="pct"/>
          </w:tcPr>
          <w:p w14:paraId="159CA39E" w14:textId="77777777" w:rsidR="00E93E56" w:rsidRPr="00EE43AD" w:rsidRDefault="00E93E56" w:rsidP="003A1748">
            <w:pPr>
              <w:rPr>
                <w:sz w:val="20"/>
                <w:szCs w:val="22"/>
                <w:rtl/>
              </w:rPr>
            </w:pPr>
            <w:r w:rsidRPr="00EE43AD">
              <w:rPr>
                <w:sz w:val="19"/>
                <w:szCs w:val="22"/>
                <w:rtl/>
              </w:rPr>
              <w:t>16/650</w:t>
            </w:r>
          </w:p>
        </w:tc>
        <w:tc>
          <w:tcPr>
            <w:tcW w:w="918" w:type="pct"/>
          </w:tcPr>
          <w:p w14:paraId="353DA43D" w14:textId="77777777" w:rsidR="00E93E56" w:rsidRPr="00EE43AD" w:rsidRDefault="00E93E56" w:rsidP="003A1748">
            <w:pPr>
              <w:rPr>
                <w:sz w:val="20"/>
                <w:szCs w:val="22"/>
                <w:rtl/>
              </w:rPr>
            </w:pPr>
            <w:r w:rsidRPr="00EE43AD">
              <w:rPr>
                <w:sz w:val="19"/>
                <w:szCs w:val="22"/>
                <w:rtl/>
              </w:rPr>
              <w:t>0</w:t>
            </w:r>
            <w:r w:rsidRPr="00EE43AD">
              <w:rPr>
                <w:rFonts w:hint="cs"/>
                <w:sz w:val="19"/>
                <w:szCs w:val="22"/>
                <w:rtl/>
              </w:rPr>
              <w:t>6</w:t>
            </w:r>
            <w:r w:rsidRPr="00EE43AD">
              <w:rPr>
                <w:sz w:val="19"/>
                <w:szCs w:val="22"/>
                <w:rtl/>
              </w:rPr>
              <w:t>/10</w:t>
            </w:r>
          </w:p>
        </w:tc>
      </w:tr>
      <w:tr w:rsidR="00E93E56" w:rsidRPr="005E7FF1" w14:paraId="25FCB69C" w14:textId="77777777" w:rsidTr="003A1748">
        <w:tc>
          <w:tcPr>
            <w:tcW w:w="2031" w:type="pct"/>
          </w:tcPr>
          <w:p w14:paraId="5FD36BB5" w14:textId="77777777" w:rsidR="00E93E56" w:rsidRPr="00EE43AD" w:rsidRDefault="00E93E56" w:rsidP="003A1748">
            <w:pPr>
              <w:rPr>
                <w:sz w:val="20"/>
                <w:szCs w:val="22"/>
                <w:rtl/>
              </w:rPr>
            </w:pPr>
            <w:r w:rsidRPr="00EE43AD">
              <w:rPr>
                <w:rFonts w:hint="eastAsia"/>
                <w:sz w:val="19"/>
                <w:szCs w:val="22"/>
                <w:rtl/>
              </w:rPr>
              <w:t>بس</w:t>
            </w:r>
            <w:r w:rsidRPr="00EE43AD">
              <w:rPr>
                <w:rFonts w:hint="cs"/>
                <w:sz w:val="19"/>
                <w:szCs w:val="22"/>
                <w:rtl/>
              </w:rPr>
              <w:t>ی</w:t>
            </w:r>
            <w:r w:rsidRPr="00EE43AD">
              <w:rPr>
                <w:rFonts w:hint="eastAsia"/>
                <w:sz w:val="19"/>
                <w:szCs w:val="22"/>
                <w:rtl/>
              </w:rPr>
              <w:t>ار</w:t>
            </w:r>
            <w:r w:rsidRPr="00EE43AD">
              <w:rPr>
                <w:sz w:val="19"/>
                <w:szCs w:val="22"/>
                <w:rtl/>
              </w:rPr>
              <w:t xml:space="preserve"> مناسب</w:t>
            </w:r>
          </w:p>
        </w:tc>
        <w:tc>
          <w:tcPr>
            <w:tcW w:w="797" w:type="pct"/>
          </w:tcPr>
          <w:p w14:paraId="4CD7E46E" w14:textId="77777777" w:rsidR="00E93E56" w:rsidRPr="00EE43AD" w:rsidRDefault="00E93E56" w:rsidP="003A1748">
            <w:pPr>
              <w:rPr>
                <w:sz w:val="20"/>
                <w:szCs w:val="22"/>
                <w:rtl/>
              </w:rPr>
            </w:pPr>
            <w:r w:rsidRPr="00EE43AD">
              <w:rPr>
                <w:sz w:val="19"/>
                <w:szCs w:val="22"/>
                <w:rtl/>
              </w:rPr>
              <w:t>5</w:t>
            </w:r>
          </w:p>
        </w:tc>
        <w:tc>
          <w:tcPr>
            <w:tcW w:w="1254" w:type="pct"/>
          </w:tcPr>
          <w:p w14:paraId="11633C76" w14:textId="77777777" w:rsidR="00E93E56" w:rsidRPr="00EE43AD" w:rsidRDefault="00E93E56" w:rsidP="003A1748">
            <w:pPr>
              <w:rPr>
                <w:sz w:val="20"/>
                <w:szCs w:val="22"/>
                <w:rtl/>
              </w:rPr>
            </w:pPr>
            <w:r w:rsidRPr="00EE43AD">
              <w:rPr>
                <w:sz w:val="19"/>
                <w:szCs w:val="22"/>
                <w:rtl/>
              </w:rPr>
              <w:t>69/750</w:t>
            </w:r>
          </w:p>
        </w:tc>
        <w:tc>
          <w:tcPr>
            <w:tcW w:w="918" w:type="pct"/>
          </w:tcPr>
          <w:p w14:paraId="27132EF2" w14:textId="77777777" w:rsidR="00E93E56" w:rsidRPr="00EE43AD" w:rsidRDefault="00E93E56" w:rsidP="003A1748">
            <w:pPr>
              <w:rPr>
                <w:sz w:val="20"/>
                <w:szCs w:val="22"/>
                <w:rtl/>
              </w:rPr>
            </w:pPr>
            <w:r w:rsidRPr="00EE43AD">
              <w:rPr>
                <w:rFonts w:hint="cs"/>
                <w:sz w:val="19"/>
                <w:szCs w:val="22"/>
                <w:rtl/>
              </w:rPr>
              <w:t>61</w:t>
            </w:r>
            <w:r w:rsidRPr="00EE43AD">
              <w:rPr>
                <w:sz w:val="19"/>
                <w:szCs w:val="22"/>
                <w:rtl/>
              </w:rPr>
              <w:t>/11</w:t>
            </w:r>
          </w:p>
        </w:tc>
      </w:tr>
      <w:tr w:rsidR="00E93E56" w:rsidRPr="005E7FF1" w14:paraId="1EB82715" w14:textId="77777777" w:rsidTr="003A1748">
        <w:tc>
          <w:tcPr>
            <w:tcW w:w="2031" w:type="pct"/>
          </w:tcPr>
          <w:p w14:paraId="6AF63717" w14:textId="77777777" w:rsidR="00E93E56" w:rsidRPr="00EE43AD" w:rsidRDefault="00E93E56" w:rsidP="003A1748">
            <w:pPr>
              <w:rPr>
                <w:sz w:val="20"/>
                <w:szCs w:val="22"/>
                <w:rtl/>
              </w:rPr>
            </w:pPr>
            <w:r w:rsidRPr="00EE43AD">
              <w:rPr>
                <w:rFonts w:hint="eastAsia"/>
                <w:sz w:val="19"/>
                <w:szCs w:val="22"/>
                <w:rtl/>
              </w:rPr>
              <w:t>جمع</w:t>
            </w:r>
            <w:r w:rsidRPr="00EE43AD">
              <w:rPr>
                <w:sz w:val="19"/>
                <w:szCs w:val="22"/>
                <w:rtl/>
              </w:rPr>
              <w:t xml:space="preserve"> کل</w:t>
            </w:r>
          </w:p>
        </w:tc>
        <w:tc>
          <w:tcPr>
            <w:tcW w:w="797" w:type="pct"/>
          </w:tcPr>
          <w:p w14:paraId="02AC64F2" w14:textId="77777777" w:rsidR="00E93E56" w:rsidRPr="00EE43AD" w:rsidRDefault="00E93E56" w:rsidP="003A1748">
            <w:pPr>
              <w:rPr>
                <w:sz w:val="20"/>
                <w:szCs w:val="22"/>
                <w:rtl/>
              </w:rPr>
            </w:pPr>
            <w:r w:rsidRPr="00EE43AD">
              <w:rPr>
                <w:rFonts w:ascii="Sakkal Majalla" w:hAnsi="Sakkal Majalla" w:cs="Sakkal Majalla" w:hint="cs"/>
                <w:sz w:val="19"/>
                <w:szCs w:val="22"/>
                <w:rtl/>
              </w:rPr>
              <w:t>—</w:t>
            </w:r>
          </w:p>
        </w:tc>
        <w:tc>
          <w:tcPr>
            <w:tcW w:w="1254" w:type="pct"/>
          </w:tcPr>
          <w:p w14:paraId="2AA9477F" w14:textId="77777777" w:rsidR="00E93E56" w:rsidRPr="00EE43AD" w:rsidRDefault="00E93E56" w:rsidP="003A1748">
            <w:pPr>
              <w:rPr>
                <w:sz w:val="20"/>
                <w:szCs w:val="22"/>
                <w:rtl/>
              </w:rPr>
            </w:pPr>
            <w:r w:rsidRPr="00EE43AD">
              <w:rPr>
                <w:sz w:val="19"/>
                <w:szCs w:val="22"/>
                <w:rtl/>
              </w:rPr>
              <w:t>89/6463</w:t>
            </w:r>
          </w:p>
        </w:tc>
        <w:tc>
          <w:tcPr>
            <w:tcW w:w="918" w:type="pct"/>
          </w:tcPr>
          <w:p w14:paraId="3B2893BA" w14:textId="77777777" w:rsidR="00E93E56" w:rsidRPr="00EE43AD" w:rsidRDefault="00E93E56" w:rsidP="003A1748">
            <w:pPr>
              <w:rPr>
                <w:sz w:val="20"/>
                <w:szCs w:val="22"/>
                <w:rtl/>
              </w:rPr>
            </w:pPr>
            <w:r w:rsidRPr="00EE43AD">
              <w:rPr>
                <w:sz w:val="19"/>
                <w:szCs w:val="22"/>
                <w:rtl/>
              </w:rPr>
              <w:t>100</w:t>
            </w:r>
          </w:p>
        </w:tc>
      </w:tr>
    </w:tbl>
    <w:p w14:paraId="112AC7B3" w14:textId="77777777" w:rsidR="00462C54" w:rsidRPr="00462C54" w:rsidRDefault="00462C54" w:rsidP="00E93E56">
      <w:pPr>
        <w:spacing w:after="40"/>
        <w:rPr>
          <w:rFonts w:eastAsia="Times New Roman" w:cs="Times New Roman"/>
          <w:color w:val="auto"/>
          <w:sz w:val="24"/>
          <w:szCs w:val="24"/>
          <w:lang w:bidi="fa-IR"/>
        </w:rPr>
      </w:pPr>
      <w:r w:rsidRPr="00462C54">
        <w:t xml:space="preserve"> </w:t>
      </w:r>
    </w:p>
    <w:p w14:paraId="313BE356" w14:textId="77777777" w:rsidR="00462C54" w:rsidRPr="00FB51C2" w:rsidRDefault="00462C54" w:rsidP="0004441F">
      <w:pPr>
        <w:pStyle w:val="Heading2"/>
        <w:rPr>
          <w:b w:val="0"/>
          <w:bCs w:val="0"/>
        </w:rPr>
      </w:pPr>
      <w:r w:rsidRPr="00FB51C2">
        <w:rPr>
          <w:b w:val="0"/>
          <w:bCs w:val="0"/>
          <w:rtl/>
        </w:rPr>
        <w:t>کنترل سازگاری و کنترل کیفیت مدل</w:t>
      </w:r>
    </w:p>
    <w:p w14:paraId="618D34C1" w14:textId="77777777" w:rsidR="00462C54" w:rsidRPr="00462C54" w:rsidRDefault="00462C54" w:rsidP="00E02FA9">
      <w:pPr>
        <w:spacing w:after="40"/>
      </w:pPr>
      <w:r w:rsidRPr="00462C54">
        <w:rPr>
          <w:rtl/>
        </w:rPr>
        <w:t>برای افزایش قابلیت اعتماد نتایج، کنترل کیفیت مدل در چند مرحله انجام شد. نخست، یکسان‌سازی سیستم مختصات و اندازه سلول لایه‌های مکانی انجام گرفت. سپس جهت اثر معیارها پیش از تلفیق بررسی شد تا معیارهای افزایشی و کاهشی به‌درستی استاندارد شوند. در مرحله بعد، سازگاری قضاوت‌های خبرگان در ماتریس</w:t>
      </w:r>
      <w:r w:rsidRPr="00462C54">
        <w:t xml:space="preserve"> AHP </w:t>
      </w:r>
      <w:r w:rsidRPr="00462C54">
        <w:rPr>
          <w:rtl/>
        </w:rPr>
        <w:t>با استفاده از نرخ ناسازگاری بررسی شد</w:t>
      </w:r>
      <w:r w:rsidRPr="00462C54">
        <w:t>.</w:t>
      </w:r>
    </w:p>
    <w:p w14:paraId="012DBA24" w14:textId="77777777" w:rsidR="00462C54" w:rsidRPr="00462C54" w:rsidRDefault="00462C54" w:rsidP="00E93E56">
      <w:pPr>
        <w:spacing w:after="60"/>
        <w:rPr>
          <w:rtl/>
        </w:rPr>
      </w:pPr>
      <w:r>
        <w:rPr>
          <w:rtl/>
        </w:rPr>
        <w:t xml:space="preserve">مقدار </w:t>
      </w:r>
      <w:r w:rsidRPr="00DE171E">
        <w:rPr>
          <w:rFonts w:asciiTheme="majorBidi" w:hAnsiTheme="majorBidi" w:cstheme="majorBidi"/>
          <w:sz w:val="18"/>
          <w:szCs w:val="22"/>
          <w:rtl/>
        </w:rPr>
        <w:t>CR=</w:t>
      </w:r>
      <w:r>
        <w:rPr>
          <w:rtl/>
        </w:rPr>
        <w:t xml:space="preserve">0/08 نشان‌دهنده سازگاری قابل قبول ماتریس مقایسات زوجی است. با این وجود، از آنجا که وزن‌ها مبتنی بر قضاوت کارشناسی هستند، نتایج مدل باید به‌عنوان یک خروجی تصمیم‌یار و نه یک حقیقت مطلق محیط‌زیستی تفسیر شوند.  با توجه به ماهیت قضاوت‌محور </w:t>
      </w:r>
      <w:r>
        <w:t>AHP</w:t>
      </w:r>
      <w:r>
        <w:rPr>
          <w:rtl/>
        </w:rPr>
        <w:t>، تحلیل حساسیت وزن‌ها و اعتبارسنجی مستقل نقشه نهایی در این مطالعه انجام نشد؛ بنابراین پایداری طبقه‌بندی در برابر تغییر وزن‌ها و آستانه‌های استانداردسازی باید در کاربردهای بعدی بررسی شود.</w:t>
      </w:r>
    </w:p>
    <w:p w14:paraId="524AAB61" w14:textId="77777777" w:rsidR="00462C54" w:rsidRPr="00462C54" w:rsidRDefault="0080430F" w:rsidP="0080430F">
      <w:pPr>
        <w:spacing w:after="40"/>
      </w:pPr>
      <w:r w:rsidRPr="0080430F">
        <w:rPr>
          <w:rtl/>
        </w:rPr>
        <w:t>چارچوب نها</w:t>
      </w:r>
      <w:r w:rsidRPr="0080430F">
        <w:rPr>
          <w:rFonts w:hint="cs"/>
          <w:rtl/>
        </w:rPr>
        <w:t>یی</w:t>
      </w:r>
      <w:r w:rsidRPr="0080430F">
        <w:rPr>
          <w:rtl/>
        </w:rPr>
        <w:t xml:space="preserve"> تصم</w:t>
      </w:r>
      <w:r w:rsidRPr="0080430F">
        <w:rPr>
          <w:rFonts w:hint="cs"/>
          <w:rtl/>
        </w:rPr>
        <w:t>ی</w:t>
      </w:r>
      <w:r w:rsidRPr="0080430F">
        <w:rPr>
          <w:rFonts w:hint="eastAsia"/>
          <w:rtl/>
        </w:rPr>
        <w:t>م‌گ</w:t>
      </w:r>
      <w:r w:rsidRPr="0080430F">
        <w:rPr>
          <w:rFonts w:hint="cs"/>
          <w:rtl/>
        </w:rPr>
        <w:t>ی</w:t>
      </w:r>
      <w:r w:rsidRPr="0080430F">
        <w:rPr>
          <w:rFonts w:hint="eastAsia"/>
          <w:rtl/>
        </w:rPr>
        <w:t>ر</w:t>
      </w:r>
      <w:r w:rsidRPr="0080430F">
        <w:rPr>
          <w:rFonts w:hint="cs"/>
          <w:rtl/>
        </w:rPr>
        <w:t>ی</w:t>
      </w:r>
      <w:r w:rsidRPr="0080430F">
        <w:rPr>
          <w:rtl/>
        </w:rPr>
        <w:t xml:space="preserve"> </w:t>
      </w:r>
      <w:r w:rsidRPr="0080430F">
        <w:t>GIS–AHP–SEA</w:t>
      </w:r>
      <w:r>
        <w:rPr>
          <w:rFonts w:hint="cs"/>
          <w:rtl/>
        </w:rPr>
        <w:t xml:space="preserve"> </w:t>
      </w:r>
      <w:r w:rsidRPr="0080430F">
        <w:rPr>
          <w:rtl/>
        </w:rPr>
        <w:t>ارتباط منطق</w:t>
      </w:r>
      <w:r w:rsidRPr="0080430F">
        <w:rPr>
          <w:rFonts w:hint="cs"/>
          <w:rtl/>
        </w:rPr>
        <w:t>ی</w:t>
      </w:r>
      <w:r w:rsidRPr="0080430F">
        <w:rPr>
          <w:rtl/>
        </w:rPr>
        <w:t xml:space="preserve"> م</w:t>
      </w:r>
      <w:r w:rsidRPr="0080430F">
        <w:rPr>
          <w:rFonts w:hint="cs"/>
          <w:rtl/>
        </w:rPr>
        <w:t>ی</w:t>
      </w:r>
      <w:r w:rsidRPr="0080430F">
        <w:rPr>
          <w:rFonts w:hint="eastAsia"/>
          <w:rtl/>
        </w:rPr>
        <w:t>ان</w:t>
      </w:r>
      <w:r w:rsidRPr="0080430F">
        <w:rPr>
          <w:rtl/>
        </w:rPr>
        <w:t xml:space="preserve"> </w:t>
      </w:r>
      <w:r w:rsidRPr="0080430F">
        <w:t>SEA</w:t>
      </w:r>
      <w:r w:rsidRPr="0080430F">
        <w:rPr>
          <w:rtl/>
        </w:rPr>
        <w:t xml:space="preserve"> به‌عنوان چارچوب راهبرد</w:t>
      </w:r>
      <w:r w:rsidRPr="0080430F">
        <w:rPr>
          <w:rFonts w:hint="cs"/>
          <w:rtl/>
        </w:rPr>
        <w:t>ی</w:t>
      </w:r>
      <w:r w:rsidRPr="0080430F">
        <w:rPr>
          <w:rFonts w:hint="eastAsia"/>
          <w:rtl/>
        </w:rPr>
        <w:t>،</w:t>
      </w:r>
      <w:r w:rsidRPr="0080430F">
        <w:rPr>
          <w:rtl/>
        </w:rPr>
        <w:t xml:space="preserve"> </w:t>
      </w:r>
      <w:r w:rsidRPr="0080430F">
        <w:t>AHP</w:t>
      </w:r>
      <w:r w:rsidRPr="0080430F">
        <w:rPr>
          <w:rtl/>
        </w:rPr>
        <w:t xml:space="preserve"> به‌عنوان ابزار وزن‌ده</w:t>
      </w:r>
      <w:r w:rsidRPr="0080430F">
        <w:rPr>
          <w:rFonts w:hint="cs"/>
          <w:rtl/>
        </w:rPr>
        <w:t>ی</w:t>
      </w:r>
      <w:r w:rsidRPr="0080430F">
        <w:rPr>
          <w:rtl/>
        </w:rPr>
        <w:t xml:space="preserve"> و </w:t>
      </w:r>
      <w:r w:rsidRPr="0080430F">
        <w:t>GIS</w:t>
      </w:r>
      <w:r w:rsidRPr="0080430F">
        <w:rPr>
          <w:rtl/>
        </w:rPr>
        <w:t xml:space="preserve"> به‌عنوان بستر تحل</w:t>
      </w:r>
      <w:r w:rsidRPr="0080430F">
        <w:rPr>
          <w:rFonts w:hint="cs"/>
          <w:rtl/>
        </w:rPr>
        <w:t>ی</w:t>
      </w:r>
      <w:r w:rsidRPr="0080430F">
        <w:rPr>
          <w:rFonts w:hint="eastAsia"/>
          <w:rtl/>
        </w:rPr>
        <w:t>ل</w:t>
      </w:r>
      <w:r w:rsidRPr="0080430F">
        <w:rPr>
          <w:rtl/>
        </w:rPr>
        <w:t xml:space="preserve"> و تلف</w:t>
      </w:r>
      <w:r w:rsidRPr="0080430F">
        <w:rPr>
          <w:rFonts w:hint="cs"/>
          <w:rtl/>
        </w:rPr>
        <w:t>ی</w:t>
      </w:r>
      <w:r w:rsidRPr="0080430F">
        <w:rPr>
          <w:rFonts w:hint="eastAsia"/>
          <w:rtl/>
        </w:rPr>
        <w:t>ق</w:t>
      </w:r>
      <w:r w:rsidRPr="0080430F">
        <w:rPr>
          <w:rtl/>
        </w:rPr>
        <w:t xml:space="preserve"> مکان</w:t>
      </w:r>
      <w:r w:rsidRPr="0080430F">
        <w:rPr>
          <w:rFonts w:hint="cs"/>
          <w:rtl/>
        </w:rPr>
        <w:t>ی</w:t>
      </w:r>
      <w:r w:rsidRPr="0080430F">
        <w:rPr>
          <w:rtl/>
        </w:rPr>
        <w:t xml:space="preserve"> را برقرار م</w:t>
      </w:r>
      <w:r w:rsidRPr="0080430F">
        <w:rPr>
          <w:rFonts w:hint="cs"/>
          <w:rtl/>
        </w:rPr>
        <w:t>ی‌</w:t>
      </w:r>
      <w:r w:rsidRPr="0080430F">
        <w:rPr>
          <w:rFonts w:hint="eastAsia"/>
          <w:rtl/>
        </w:rPr>
        <w:t>کند</w:t>
      </w:r>
      <w:r w:rsidRPr="0080430F">
        <w:rPr>
          <w:rtl/>
        </w:rPr>
        <w:t xml:space="preserve">. </w:t>
      </w:r>
    </w:p>
    <w:p w14:paraId="159D79D7" w14:textId="77777777" w:rsidR="00462C54" w:rsidRDefault="00CC5A8C" w:rsidP="0004441F">
      <w:pPr>
        <w:pStyle w:val="Heading1"/>
        <w:rPr>
          <w:rFonts w:cs="Times New Roman"/>
          <w:sz w:val="48"/>
          <w:szCs w:val="48"/>
          <w:rtl/>
          <w:lang w:bidi="fa-IR"/>
        </w:rPr>
      </w:pPr>
      <w:r w:rsidRPr="00CC5A8C">
        <w:rPr>
          <w:rFonts w:hint="cs"/>
          <w:rtl/>
        </w:rPr>
        <w:t>ی</w:t>
      </w:r>
      <w:r w:rsidRPr="00CC5A8C">
        <w:rPr>
          <w:rFonts w:hint="eastAsia"/>
          <w:rtl/>
        </w:rPr>
        <w:t>افته‌ها</w:t>
      </w:r>
      <w:r w:rsidRPr="00CC5A8C">
        <w:rPr>
          <w:rFonts w:hint="cs"/>
          <w:rtl/>
        </w:rPr>
        <w:t>ی</w:t>
      </w:r>
      <w:r w:rsidRPr="00CC5A8C">
        <w:rPr>
          <w:rtl/>
        </w:rPr>
        <w:t xml:space="preserve"> پژوهش</w:t>
      </w:r>
    </w:p>
    <w:p w14:paraId="5557E4A0" w14:textId="77777777" w:rsidR="0080430F" w:rsidRDefault="0080430F" w:rsidP="00772424">
      <w:pPr>
        <w:spacing w:after="40"/>
        <w:rPr>
          <w:rtl/>
        </w:rPr>
      </w:pPr>
      <w:r>
        <w:rPr>
          <w:rFonts w:hint="cs"/>
          <w:rtl/>
        </w:rPr>
        <w:t xml:space="preserve">طبق جدول 2 </w:t>
      </w:r>
      <w:r>
        <w:rPr>
          <w:rtl/>
        </w:rPr>
        <w:t>نتا</w:t>
      </w:r>
      <w:r>
        <w:rPr>
          <w:rFonts w:hint="cs"/>
          <w:rtl/>
        </w:rPr>
        <w:t>ی</w:t>
      </w:r>
      <w:r>
        <w:rPr>
          <w:rFonts w:hint="eastAsia"/>
          <w:rtl/>
        </w:rPr>
        <w:t>ج</w:t>
      </w:r>
      <w:r>
        <w:rPr>
          <w:rtl/>
        </w:rPr>
        <w:t xml:space="preserve"> نشان داد که فاصله از منابع آب با وزن </w:t>
      </w:r>
      <w:r w:rsidR="00772424">
        <w:rPr>
          <w:rFonts w:hint="cs"/>
          <w:rtl/>
        </w:rPr>
        <w:t>2</w:t>
      </w:r>
      <w:r>
        <w:rPr>
          <w:rFonts w:hint="cs"/>
          <w:rtl/>
        </w:rPr>
        <w:t>43/0</w:t>
      </w:r>
      <w:r>
        <w:rPr>
          <w:rtl/>
        </w:rPr>
        <w:t xml:space="preserve"> ب</w:t>
      </w:r>
      <w:r>
        <w:rPr>
          <w:rFonts w:hint="cs"/>
          <w:rtl/>
        </w:rPr>
        <w:t>ی</w:t>
      </w:r>
      <w:r>
        <w:rPr>
          <w:rFonts w:hint="eastAsia"/>
          <w:rtl/>
        </w:rPr>
        <w:t>شتر</w:t>
      </w:r>
      <w:r>
        <w:rPr>
          <w:rFonts w:hint="cs"/>
          <w:rtl/>
        </w:rPr>
        <w:t>ی</w:t>
      </w:r>
      <w:r>
        <w:rPr>
          <w:rFonts w:hint="eastAsia"/>
          <w:rtl/>
        </w:rPr>
        <w:t>ن</w:t>
      </w:r>
      <w:r>
        <w:rPr>
          <w:rtl/>
        </w:rPr>
        <w:t xml:space="preserve"> اهم</w:t>
      </w:r>
      <w:r>
        <w:rPr>
          <w:rFonts w:hint="cs"/>
          <w:rtl/>
        </w:rPr>
        <w:t>ی</w:t>
      </w:r>
      <w:r>
        <w:rPr>
          <w:rFonts w:hint="eastAsia"/>
          <w:rtl/>
        </w:rPr>
        <w:t>ت</w:t>
      </w:r>
      <w:r>
        <w:rPr>
          <w:rtl/>
        </w:rPr>
        <w:t xml:space="preserve"> را در مدل دارد. پس از آن، پوشش و کاربر</w:t>
      </w:r>
      <w:r>
        <w:rPr>
          <w:rFonts w:hint="cs"/>
          <w:rtl/>
        </w:rPr>
        <w:t>ی</w:t>
      </w:r>
      <w:r>
        <w:rPr>
          <w:rtl/>
        </w:rPr>
        <w:t xml:space="preserve"> اراض</w:t>
      </w:r>
      <w:r>
        <w:rPr>
          <w:rFonts w:hint="cs"/>
          <w:rtl/>
        </w:rPr>
        <w:t>ی</w:t>
      </w:r>
      <w:r>
        <w:rPr>
          <w:rtl/>
        </w:rPr>
        <w:t xml:space="preserve"> با وزن </w:t>
      </w:r>
      <w:r>
        <w:rPr>
          <w:rFonts w:hint="cs"/>
          <w:rtl/>
        </w:rPr>
        <w:t>189/0</w:t>
      </w:r>
      <w:r>
        <w:rPr>
          <w:rtl/>
        </w:rPr>
        <w:t xml:space="preserve"> و فاصله از آبراهه‌ها با </w:t>
      </w:r>
      <w:r>
        <w:rPr>
          <w:rFonts w:hint="eastAsia"/>
          <w:rtl/>
        </w:rPr>
        <w:t>وزن</w:t>
      </w:r>
      <w:r>
        <w:rPr>
          <w:rtl/>
        </w:rPr>
        <w:t xml:space="preserve"> </w:t>
      </w:r>
      <w:r>
        <w:rPr>
          <w:rFonts w:hint="cs"/>
          <w:rtl/>
        </w:rPr>
        <w:t>147/0</w:t>
      </w:r>
      <w:r>
        <w:rPr>
          <w:rtl/>
        </w:rPr>
        <w:t xml:space="preserve"> قرار گرفتند. وزن سا</w:t>
      </w:r>
      <w:r>
        <w:rPr>
          <w:rFonts w:hint="cs"/>
          <w:rtl/>
        </w:rPr>
        <w:t>ی</w:t>
      </w:r>
      <w:r>
        <w:rPr>
          <w:rFonts w:hint="eastAsia"/>
          <w:rtl/>
        </w:rPr>
        <w:t>ر</w:t>
      </w:r>
      <w:r>
        <w:rPr>
          <w:rtl/>
        </w:rPr>
        <w:t xml:space="preserve"> مع</w:t>
      </w:r>
      <w:r>
        <w:rPr>
          <w:rFonts w:hint="cs"/>
          <w:rtl/>
        </w:rPr>
        <w:t>ی</w:t>
      </w:r>
      <w:r>
        <w:rPr>
          <w:rFonts w:hint="eastAsia"/>
          <w:rtl/>
        </w:rPr>
        <w:t>ارها</w:t>
      </w:r>
      <w:r>
        <w:rPr>
          <w:rtl/>
        </w:rPr>
        <w:t xml:space="preserve"> ن</w:t>
      </w:r>
      <w:r>
        <w:rPr>
          <w:rFonts w:hint="cs"/>
          <w:rtl/>
        </w:rPr>
        <w:t>ی</w:t>
      </w:r>
      <w:r>
        <w:rPr>
          <w:rFonts w:hint="eastAsia"/>
          <w:rtl/>
        </w:rPr>
        <w:t>ز</w:t>
      </w:r>
      <w:r>
        <w:rPr>
          <w:rtl/>
        </w:rPr>
        <w:t xml:space="preserve"> به‌ترت</w:t>
      </w:r>
      <w:r>
        <w:rPr>
          <w:rFonts w:hint="cs"/>
          <w:rtl/>
        </w:rPr>
        <w:t>ی</w:t>
      </w:r>
      <w:r>
        <w:rPr>
          <w:rFonts w:hint="eastAsia"/>
          <w:rtl/>
        </w:rPr>
        <w:t>ب</w:t>
      </w:r>
      <w:r>
        <w:rPr>
          <w:rtl/>
        </w:rPr>
        <w:t xml:space="preserve"> برا</w:t>
      </w:r>
      <w:r>
        <w:rPr>
          <w:rFonts w:hint="cs"/>
          <w:rtl/>
        </w:rPr>
        <w:t>ی</w:t>
      </w:r>
      <w:r>
        <w:rPr>
          <w:rtl/>
        </w:rPr>
        <w:t xml:space="preserve"> فاصله از سکونتگاه‌ها </w:t>
      </w:r>
      <w:r>
        <w:rPr>
          <w:rFonts w:hint="cs"/>
          <w:rtl/>
        </w:rPr>
        <w:t>124/0</w:t>
      </w:r>
      <w:r>
        <w:rPr>
          <w:rtl/>
        </w:rPr>
        <w:t xml:space="preserve">، فاصله از شبکه راه‌ها </w:t>
      </w:r>
      <w:r>
        <w:rPr>
          <w:rFonts w:hint="cs"/>
          <w:rtl/>
        </w:rPr>
        <w:t>106/0</w:t>
      </w:r>
      <w:r>
        <w:rPr>
          <w:rtl/>
        </w:rPr>
        <w:t>، ش</w:t>
      </w:r>
      <w:r>
        <w:rPr>
          <w:rFonts w:hint="cs"/>
          <w:rtl/>
        </w:rPr>
        <w:t>ی</w:t>
      </w:r>
      <w:r>
        <w:rPr>
          <w:rFonts w:hint="eastAsia"/>
          <w:rtl/>
        </w:rPr>
        <w:t>ب</w:t>
      </w:r>
      <w:r>
        <w:rPr>
          <w:rtl/>
        </w:rPr>
        <w:t xml:space="preserve"> </w:t>
      </w:r>
      <w:r>
        <w:rPr>
          <w:rFonts w:hint="cs"/>
          <w:rtl/>
        </w:rPr>
        <w:t>098/0</w:t>
      </w:r>
      <w:r>
        <w:rPr>
          <w:rtl/>
        </w:rPr>
        <w:t xml:space="preserve"> و فاصله از مناطق حفاظت‌شده </w:t>
      </w:r>
      <w:r>
        <w:rPr>
          <w:rFonts w:hint="cs"/>
          <w:rtl/>
        </w:rPr>
        <w:t>093/0</w:t>
      </w:r>
      <w:r>
        <w:rPr>
          <w:rtl/>
        </w:rPr>
        <w:t xml:space="preserve"> به دست آمد. مجموع وزن‌ها برابر با </w:t>
      </w:r>
      <w:r>
        <w:rPr>
          <w:rFonts w:hint="cs"/>
          <w:rtl/>
        </w:rPr>
        <w:t>000/1</w:t>
      </w:r>
      <w:r>
        <w:rPr>
          <w:rtl/>
        </w:rPr>
        <w:t xml:space="preserve"> است. </w:t>
      </w:r>
    </w:p>
    <w:p w14:paraId="27EABED2" w14:textId="77777777" w:rsidR="00CC5A8C" w:rsidRDefault="00CC5A8C" w:rsidP="0004441F">
      <w:pPr>
        <w:pStyle w:val="Heading2"/>
        <w:rPr>
          <w:rtl/>
        </w:rPr>
      </w:pPr>
      <w:r w:rsidRPr="00E70E90">
        <w:rPr>
          <w:sz w:val="25"/>
          <w:szCs w:val="32"/>
          <w:rtl/>
        </w:rPr>
        <w:lastRenderedPageBreak/>
        <w:t>بحث</w:t>
      </w:r>
      <w:r w:rsidRPr="00CC5A8C">
        <w:rPr>
          <w:rtl/>
        </w:rPr>
        <w:t xml:space="preserve"> </w:t>
      </w:r>
    </w:p>
    <w:p w14:paraId="73A738F5" w14:textId="77777777" w:rsidR="00462C54" w:rsidRDefault="00462C54" w:rsidP="00E02FA9">
      <w:pPr>
        <w:spacing w:after="40"/>
      </w:pPr>
      <w:r>
        <w:rPr>
          <w:rtl/>
        </w:rPr>
        <w:t>غلبه معیار فاصله از منابع آب نشان می‌دهد که در چارچوب تصمیم‌گیری این پژوهش، حفاظت از منابع آب مهم‌ترین ملاحظه محیط‌زیستی برای توسعه معدن سونگون محسوب شده است. این نتیجه از نظر محیط‌زیستی قابل تبیین است؛ زیرا فعالیت‌های معدنی می‌توانند از طریق تغییر الگوی رواناب، تولید زه‌آب اسیدی، انتقال رسوبات و آلاینده‌ها و تغییر کیفیت منابع آب، بر سامانه‌های آبی اثرگذار باشند. ازاین‌رو، قرار گرفتن فاصله از منابع آب در رتبه نخست وزن‌دهی، بیانگر اهمیت رویکرد پیشگیرانه در برنامه‌ریزی فضایی توسعه معدن است</w:t>
      </w:r>
      <w:r>
        <w:t>.</w:t>
      </w:r>
    </w:p>
    <w:p w14:paraId="7140F175" w14:textId="77777777" w:rsidR="00462C54" w:rsidRDefault="00462C54" w:rsidP="00E02FA9">
      <w:pPr>
        <w:spacing w:after="40"/>
      </w:pPr>
      <w:r>
        <w:rPr>
          <w:rtl/>
        </w:rPr>
        <w:t>اهمیت نسبتاً بالای پوشش و کاربری اراضی نیز نشان می‌دهد که ظرفیت توسعه معدن نمی‌تواند صرفاً بر اساس ظرفیت فنی و اقتصادی تعیین شود. تغییر پوشش طبیعی و کاربری اراضی می‌تواند با تخریب زیستگاه، افزایش فرسایش و تغییر کارکردهای اکوسیستمی همراه باشد. این موضوع با مطالعاتی که بر پیامدهای فضایی و اکولوژیکی توسعه فعالیت‌های معدنی تأکید کرده‌اند، همخوانی دارد</w:t>
      </w:r>
      <w:r>
        <w:t xml:space="preserve">. </w:t>
      </w:r>
    </w:p>
    <w:p w14:paraId="637C096B" w14:textId="77777777" w:rsidR="00462C54" w:rsidRDefault="00462C54" w:rsidP="0080430F">
      <w:pPr>
        <w:spacing w:after="40"/>
      </w:pPr>
      <w:r>
        <w:rPr>
          <w:rtl/>
        </w:rPr>
        <w:t xml:space="preserve">همچنین، وزن </w:t>
      </w:r>
      <w:r w:rsidR="0080430F">
        <w:rPr>
          <w:rFonts w:hint="cs"/>
          <w:rtl/>
        </w:rPr>
        <w:t>147/0</w:t>
      </w:r>
      <w:r>
        <w:rPr>
          <w:rtl/>
        </w:rPr>
        <w:t xml:space="preserve"> برای فاصله از آبراهه‌ها نشان می‌دهد که شبکه زهکشی طبیعی، علاوه بر نقش هیدرولوژیک، باید به‌عنوان یکی از محدودیت‌های اصلی توسعه فعالیت‌های معدنی مورد توجه قرار گیرد</w:t>
      </w:r>
      <w:r>
        <w:t>.</w:t>
      </w:r>
    </w:p>
    <w:p w14:paraId="288227B6" w14:textId="77777777" w:rsidR="00462C54" w:rsidRDefault="00462C54" w:rsidP="00E02FA9">
      <w:pPr>
        <w:spacing w:after="40"/>
      </w:pPr>
      <w:r>
        <w:rPr>
          <w:rtl/>
        </w:rPr>
        <w:t>نتایج استانداردسازی نشان داد که معیارهای محیط‌زیستی دارای الگوهای فضایی متفاوتی در محدوده مطالعه هستند. در معیارهای فاصله‌ای، پهنه‌های نزدیک به منابع آب و آبراهه‌ها امتیاز تناسب پایین‌تری دریافت کردند و با افزایش فاصله، تناسب محیط‌زیستی افزایش یافت. در مورد سکونتگاه‌ها نیز افزایش فاصله از مناطق مسکونی موجب افزایش امتیاز تناسب شد</w:t>
      </w:r>
      <w:r>
        <w:t>.</w:t>
      </w:r>
    </w:p>
    <w:p w14:paraId="243A42CB" w14:textId="77777777" w:rsidR="0080430F" w:rsidRDefault="00462C54" w:rsidP="0080430F">
      <w:pPr>
        <w:spacing w:after="40"/>
        <w:rPr>
          <w:rtl/>
        </w:rPr>
      </w:pPr>
      <w:r>
        <w:rPr>
          <w:rtl/>
        </w:rPr>
        <w:t>در معیار شیب، مناطق دارای شیب بیشتر در طبقات تناسب پایین‌تر قرار گرفتند؛ زیرا افزایش شیب می‌تواند با افزایش ناپایداری دامنه، فرسایش، رواناب و دشواری عملیات استخراج همراه باشد</w:t>
      </w:r>
      <w:r w:rsidR="0080430F">
        <w:rPr>
          <w:rFonts w:hint="cs"/>
          <w:rtl/>
        </w:rPr>
        <w:t>.</w:t>
      </w:r>
    </w:p>
    <w:p w14:paraId="6A2118C5" w14:textId="77777777" w:rsidR="00462C54" w:rsidRDefault="00462C54" w:rsidP="0080430F">
      <w:pPr>
        <w:spacing w:after="60"/>
        <w:rPr>
          <w:rtl/>
        </w:rPr>
      </w:pPr>
      <w:r>
        <w:rPr>
          <w:rtl/>
        </w:rPr>
        <w:t>نمایش همزمان هفت معیار در شکل (3) امکان مقایسه فضایی آنها را فراهم می‌کند. با این حال، تفاوت در الگوی مکانی معیارها نشان می‌دهد که استفاده از یک معیار منفرد نمی‌تواند برای تعیین ظرفیت محیط‌زیستی توسعه معدن کافی باشد و ضرورت تلفیق چندمعیاره را تأیید می‌کند.</w:t>
      </w:r>
    </w:p>
    <w:p w14:paraId="12C03228" w14:textId="77777777" w:rsidR="00462C54" w:rsidRDefault="00462C54" w:rsidP="00E02FA9">
      <w:pPr>
        <w:spacing w:after="40"/>
      </w:pPr>
      <w:r>
        <w:rPr>
          <w:rtl/>
        </w:rPr>
        <w:t>پس از استانداردسازی معیارها و اعمال وزن‌های حاصل از</w:t>
      </w:r>
      <w:r>
        <w:t xml:space="preserve"> AHP</w:t>
      </w:r>
      <w:r>
        <w:rPr>
          <w:rtl/>
        </w:rPr>
        <w:t>، لایه‌ها با استفاده از روش همپوشانی وزنی در محیط</w:t>
      </w:r>
      <w:r>
        <w:t xml:space="preserve"> GIS </w:t>
      </w:r>
      <w:r>
        <w:rPr>
          <w:rtl/>
        </w:rPr>
        <w:t xml:space="preserve">تلفیق شدند و </w:t>
      </w:r>
      <w:r w:rsidRPr="0080430F">
        <w:rPr>
          <w:rStyle w:val="Strong"/>
          <w:b w:val="0"/>
          <w:bCs w:val="0"/>
          <w:rtl/>
        </w:rPr>
        <w:t>شاخص پیوسته تناسب محیط‌زیستی</w:t>
      </w:r>
      <w:r w:rsidRPr="0080430F">
        <w:rPr>
          <w:rStyle w:val="Strong"/>
          <w:b w:val="0"/>
          <w:bCs w:val="0"/>
        </w:rPr>
        <w:t xml:space="preserve"> (SEA Suitability Index)</w:t>
      </w:r>
      <w:r>
        <w:t xml:space="preserve"> </w:t>
      </w:r>
      <w:r>
        <w:rPr>
          <w:rtl/>
        </w:rPr>
        <w:t>تولید شد</w:t>
      </w:r>
      <w:r>
        <w:t>.</w:t>
      </w:r>
    </w:p>
    <w:p w14:paraId="7250F448" w14:textId="2E7A8E60" w:rsidR="00462C54" w:rsidRDefault="00462C54" w:rsidP="00E02FA9">
      <w:pPr>
        <w:spacing w:after="40"/>
      </w:pPr>
      <w:r>
        <w:rPr>
          <w:rtl/>
        </w:rPr>
        <w:t xml:space="preserve">نتیجه </w:t>
      </w:r>
      <w:r w:rsidR="00DE171E">
        <w:rPr>
          <w:rFonts w:hint="cs"/>
          <w:rtl/>
        </w:rPr>
        <w:t>بدست آمده،</w:t>
      </w:r>
      <w:r>
        <w:rPr>
          <w:rtl/>
        </w:rPr>
        <w:t xml:space="preserve"> نشان داد که تناسب محیط‌زیستی در محدوده مطالعه به‌صورت تدریجی و ناهمگن تغییر می‌کند. به عبارت دیگر، وضعیت هر سلول مکانی حاصل اثر همزمان هفت معیار و وزن نسبی آنهاست و هیچ معیار منفردی به‌تنهایی تعیین‌کننده تناسب نهایی نیست</w:t>
      </w:r>
      <w:r>
        <w:t xml:space="preserve">. </w:t>
      </w:r>
    </w:p>
    <w:p w14:paraId="26B86080" w14:textId="77777777" w:rsidR="00462C54" w:rsidRDefault="00462C54" w:rsidP="00A6144F">
      <w:pPr>
        <w:spacing w:after="40"/>
      </w:pPr>
      <w:r>
        <w:rPr>
          <w:rtl/>
        </w:rPr>
        <w:t>این ویژگی یکی از نقاط قوت روش تلفیقی</w:t>
      </w:r>
      <w:r>
        <w:t xml:space="preserve"> GIS–AHP </w:t>
      </w:r>
      <w:r>
        <w:rPr>
          <w:rtl/>
        </w:rPr>
        <w:t>است؛ زیرا امکان تبدیل معیارهای مختلف با واحدها و ماهیت‌های متفاوت به یک شاخص مکانی واحد را فراهم می‌کند. از دیدگاه</w:t>
      </w:r>
      <w:r>
        <w:t xml:space="preserve"> SEA </w:t>
      </w:r>
      <w:r>
        <w:rPr>
          <w:rtl/>
        </w:rPr>
        <w:t>نیز چنین شاخصی می‌تواند در مرحله پیش از تصمیم‌گیری‌های تفصیلی، برای مقایسه گزینه‌های توسعه و شناسایی مناطق دارای تعارض کمتر مورد استفاده قرار گیرد</w:t>
      </w:r>
      <w:r>
        <w:t>.</w:t>
      </w:r>
    </w:p>
    <w:p w14:paraId="0A5AC92C" w14:textId="34E61F7C" w:rsidR="000910F9" w:rsidRDefault="000910F9" w:rsidP="000910F9">
      <w:pPr>
        <w:spacing w:after="40"/>
        <w:rPr>
          <w:rtl/>
        </w:rPr>
      </w:pPr>
      <w:r w:rsidRPr="000910F9">
        <w:rPr>
          <w:rtl/>
        </w:rPr>
        <w:lastRenderedPageBreak/>
        <w:t>شاخص پ</w:t>
      </w:r>
      <w:r w:rsidRPr="000910F9">
        <w:rPr>
          <w:rFonts w:hint="cs"/>
          <w:rtl/>
        </w:rPr>
        <w:t>ی</w:t>
      </w:r>
      <w:r w:rsidRPr="000910F9">
        <w:rPr>
          <w:rFonts w:hint="eastAsia"/>
          <w:rtl/>
        </w:rPr>
        <w:t>وسته</w:t>
      </w:r>
      <w:r w:rsidRPr="000910F9">
        <w:rPr>
          <w:rtl/>
        </w:rPr>
        <w:t xml:space="preserve"> تناسب مح</w:t>
      </w:r>
      <w:r w:rsidRPr="000910F9">
        <w:rPr>
          <w:rFonts w:hint="cs"/>
          <w:rtl/>
        </w:rPr>
        <w:t>ی</w:t>
      </w:r>
      <w:r w:rsidRPr="000910F9">
        <w:rPr>
          <w:rFonts w:hint="eastAsia"/>
          <w:rtl/>
        </w:rPr>
        <w:t>ط‌ز</w:t>
      </w:r>
      <w:r w:rsidRPr="000910F9">
        <w:rPr>
          <w:rFonts w:hint="cs"/>
          <w:rtl/>
        </w:rPr>
        <w:t>ی</w:t>
      </w:r>
      <w:r w:rsidRPr="000910F9">
        <w:rPr>
          <w:rFonts w:hint="eastAsia"/>
          <w:rtl/>
        </w:rPr>
        <w:t>ست</w:t>
      </w:r>
      <w:r w:rsidRPr="000910F9">
        <w:rPr>
          <w:rFonts w:hint="cs"/>
          <w:rtl/>
        </w:rPr>
        <w:t>ی</w:t>
      </w:r>
      <w:r w:rsidRPr="000910F9">
        <w:rPr>
          <w:rtl/>
        </w:rPr>
        <w:t xml:space="preserve"> در پنج طبقه شامل بس</w:t>
      </w:r>
      <w:r w:rsidRPr="000910F9">
        <w:rPr>
          <w:rFonts w:hint="cs"/>
          <w:rtl/>
        </w:rPr>
        <w:t>ی</w:t>
      </w:r>
      <w:r w:rsidRPr="000910F9">
        <w:rPr>
          <w:rFonts w:hint="eastAsia"/>
          <w:rtl/>
        </w:rPr>
        <w:t>ار</w:t>
      </w:r>
      <w:r w:rsidRPr="000910F9">
        <w:rPr>
          <w:rtl/>
        </w:rPr>
        <w:t xml:space="preserve"> نامناسب، نامناسب، متوسط، مناسب و بس</w:t>
      </w:r>
      <w:r w:rsidRPr="000910F9">
        <w:rPr>
          <w:rFonts w:hint="cs"/>
          <w:rtl/>
        </w:rPr>
        <w:t>ی</w:t>
      </w:r>
      <w:r w:rsidRPr="000910F9">
        <w:rPr>
          <w:rFonts w:hint="eastAsia"/>
          <w:rtl/>
        </w:rPr>
        <w:t>ار</w:t>
      </w:r>
      <w:r w:rsidRPr="000910F9">
        <w:rPr>
          <w:rtl/>
        </w:rPr>
        <w:t xml:space="preserve"> مناسب طبقه‌بند</w:t>
      </w:r>
      <w:r w:rsidRPr="000910F9">
        <w:rPr>
          <w:rFonts w:hint="cs"/>
          <w:rtl/>
        </w:rPr>
        <w:t>ی</w:t>
      </w:r>
      <w:r w:rsidRPr="000910F9">
        <w:rPr>
          <w:rtl/>
        </w:rPr>
        <w:t xml:space="preserve"> شد. نتا</w:t>
      </w:r>
      <w:r w:rsidRPr="000910F9">
        <w:rPr>
          <w:rFonts w:hint="cs"/>
          <w:rtl/>
        </w:rPr>
        <w:t>ی</w:t>
      </w:r>
      <w:r w:rsidRPr="000910F9">
        <w:rPr>
          <w:rFonts w:hint="eastAsia"/>
          <w:rtl/>
        </w:rPr>
        <w:t>ج</w:t>
      </w:r>
      <w:r w:rsidRPr="000910F9">
        <w:rPr>
          <w:rtl/>
        </w:rPr>
        <w:t xml:space="preserve"> نشان داد که از مجموع 89</w:t>
      </w:r>
      <w:r>
        <w:rPr>
          <w:rFonts w:hint="cs"/>
          <w:rtl/>
        </w:rPr>
        <w:t>/</w:t>
      </w:r>
      <w:r w:rsidRPr="000910F9">
        <w:rPr>
          <w:rtl/>
        </w:rPr>
        <w:t>6463 هکتار محدوده مورد مطالعه، 26</w:t>
      </w:r>
      <w:r>
        <w:rPr>
          <w:rFonts w:hint="cs"/>
          <w:rtl/>
        </w:rPr>
        <w:t>/</w:t>
      </w:r>
      <w:r w:rsidRPr="000910F9">
        <w:rPr>
          <w:rtl/>
        </w:rPr>
        <w:t>1396 هکتار (60</w:t>
      </w:r>
      <w:r>
        <w:rPr>
          <w:rFonts w:hint="cs"/>
          <w:rtl/>
        </w:rPr>
        <w:t>/</w:t>
      </w:r>
      <w:r w:rsidRPr="000910F9">
        <w:rPr>
          <w:rtl/>
        </w:rPr>
        <w:t>21 درصد) در طبقه بس</w:t>
      </w:r>
      <w:r w:rsidRPr="000910F9">
        <w:rPr>
          <w:rFonts w:hint="cs"/>
          <w:rtl/>
        </w:rPr>
        <w:t>ی</w:t>
      </w:r>
      <w:r w:rsidRPr="000910F9">
        <w:rPr>
          <w:rFonts w:hint="eastAsia"/>
          <w:rtl/>
        </w:rPr>
        <w:t>ار</w:t>
      </w:r>
      <w:r w:rsidRPr="000910F9">
        <w:rPr>
          <w:rtl/>
        </w:rPr>
        <w:t xml:space="preserve"> نامناسب، 88</w:t>
      </w:r>
      <w:r>
        <w:rPr>
          <w:rFonts w:hint="cs"/>
          <w:rtl/>
        </w:rPr>
        <w:t>/</w:t>
      </w:r>
      <w:r w:rsidRPr="000910F9">
        <w:rPr>
          <w:rtl/>
        </w:rPr>
        <w:t>1856 هکتار (73</w:t>
      </w:r>
      <w:r>
        <w:rPr>
          <w:rFonts w:hint="cs"/>
          <w:rtl/>
        </w:rPr>
        <w:t>/</w:t>
      </w:r>
      <w:r w:rsidRPr="000910F9">
        <w:rPr>
          <w:rtl/>
        </w:rPr>
        <w:t>28 درصد) در طبقه نامناسب، 90</w:t>
      </w:r>
      <w:r>
        <w:rPr>
          <w:rFonts w:hint="cs"/>
          <w:rtl/>
        </w:rPr>
        <w:t>/</w:t>
      </w:r>
      <w:r w:rsidRPr="000910F9">
        <w:rPr>
          <w:rtl/>
        </w:rPr>
        <w:t>1809هکتار (</w:t>
      </w:r>
      <w:r>
        <w:rPr>
          <w:rFonts w:hint="cs"/>
          <w:rtl/>
        </w:rPr>
        <w:t>00/28</w:t>
      </w:r>
      <w:r w:rsidRPr="000910F9">
        <w:rPr>
          <w:rtl/>
        </w:rPr>
        <w:t xml:space="preserve"> درصد) در طبقه متوسط، </w:t>
      </w:r>
      <w:r>
        <w:rPr>
          <w:rFonts w:hint="cs"/>
          <w:rtl/>
        </w:rPr>
        <w:t>16/650</w:t>
      </w:r>
      <w:r w:rsidRPr="000910F9">
        <w:rPr>
          <w:rtl/>
        </w:rPr>
        <w:t xml:space="preserve"> هکتار (</w:t>
      </w:r>
      <w:r>
        <w:rPr>
          <w:rFonts w:hint="cs"/>
          <w:rtl/>
        </w:rPr>
        <w:t>06/10</w:t>
      </w:r>
      <w:r w:rsidRPr="000910F9">
        <w:rPr>
          <w:rtl/>
        </w:rPr>
        <w:t xml:space="preserve"> درصد) در طبقه مناسب و </w:t>
      </w:r>
      <w:r>
        <w:rPr>
          <w:rFonts w:hint="cs"/>
          <w:rtl/>
        </w:rPr>
        <w:t>69/750</w:t>
      </w:r>
      <w:r w:rsidRPr="000910F9">
        <w:rPr>
          <w:rtl/>
        </w:rPr>
        <w:t xml:space="preserve"> هکتار (</w:t>
      </w:r>
      <w:r>
        <w:rPr>
          <w:rFonts w:hint="cs"/>
          <w:rtl/>
        </w:rPr>
        <w:t>61/11</w:t>
      </w:r>
      <w:r w:rsidRPr="000910F9">
        <w:rPr>
          <w:rtl/>
        </w:rPr>
        <w:t xml:space="preserve"> درصد) در طبقه بس</w:t>
      </w:r>
      <w:r w:rsidRPr="000910F9">
        <w:rPr>
          <w:rFonts w:hint="cs"/>
          <w:rtl/>
        </w:rPr>
        <w:t>ی</w:t>
      </w:r>
      <w:r w:rsidRPr="000910F9">
        <w:rPr>
          <w:rFonts w:hint="eastAsia"/>
          <w:rtl/>
        </w:rPr>
        <w:t>ار</w:t>
      </w:r>
      <w:r w:rsidRPr="000910F9">
        <w:rPr>
          <w:rtl/>
        </w:rPr>
        <w:t xml:space="preserve"> مناسب قرار </w:t>
      </w:r>
      <w:r w:rsidR="00DE171E">
        <w:rPr>
          <w:rFonts w:hint="cs"/>
          <w:rtl/>
        </w:rPr>
        <w:t>دارد</w:t>
      </w:r>
      <w:r w:rsidRPr="000910F9">
        <w:rPr>
          <w:rtl/>
        </w:rPr>
        <w:t xml:space="preserve">. </w:t>
      </w:r>
    </w:p>
    <w:p w14:paraId="57E45913" w14:textId="77777777" w:rsidR="000910F9" w:rsidRDefault="000910F9" w:rsidP="000910F9">
      <w:pPr>
        <w:spacing w:after="40"/>
        <w:rPr>
          <w:rtl/>
        </w:rPr>
      </w:pPr>
      <w:r w:rsidRPr="000910F9">
        <w:rPr>
          <w:rtl/>
        </w:rPr>
        <w:t>بنابرا</w:t>
      </w:r>
      <w:r w:rsidRPr="000910F9">
        <w:rPr>
          <w:rFonts w:hint="cs"/>
          <w:rtl/>
        </w:rPr>
        <w:t>ی</w:t>
      </w:r>
      <w:r w:rsidRPr="000910F9">
        <w:rPr>
          <w:rFonts w:hint="eastAsia"/>
          <w:rtl/>
        </w:rPr>
        <w:t>ن،</w:t>
      </w:r>
      <w:r w:rsidRPr="000910F9">
        <w:rPr>
          <w:rtl/>
        </w:rPr>
        <w:t xml:space="preserve"> مجموع پهنه‌ها</w:t>
      </w:r>
      <w:r w:rsidRPr="000910F9">
        <w:rPr>
          <w:rFonts w:hint="cs"/>
          <w:rtl/>
        </w:rPr>
        <w:t>ی</w:t>
      </w:r>
      <w:r w:rsidRPr="000910F9">
        <w:rPr>
          <w:rtl/>
        </w:rPr>
        <w:t xml:space="preserve"> بس</w:t>
      </w:r>
      <w:r w:rsidRPr="000910F9">
        <w:rPr>
          <w:rFonts w:hint="cs"/>
          <w:rtl/>
        </w:rPr>
        <w:t>ی</w:t>
      </w:r>
      <w:r w:rsidRPr="000910F9">
        <w:rPr>
          <w:rFonts w:hint="eastAsia"/>
          <w:rtl/>
        </w:rPr>
        <w:t>ار</w:t>
      </w:r>
      <w:r w:rsidRPr="000910F9">
        <w:rPr>
          <w:rtl/>
        </w:rPr>
        <w:t xml:space="preserve"> نامناسب و نامناسب </w:t>
      </w:r>
      <w:r>
        <w:rPr>
          <w:rFonts w:hint="cs"/>
          <w:rtl/>
        </w:rPr>
        <w:t>33/50</w:t>
      </w:r>
      <w:r w:rsidRPr="000910F9">
        <w:rPr>
          <w:rtl/>
        </w:rPr>
        <w:t xml:space="preserve"> درصد از محدوده مطالعه را تشک</w:t>
      </w:r>
      <w:r w:rsidRPr="000910F9">
        <w:rPr>
          <w:rFonts w:hint="cs"/>
          <w:rtl/>
        </w:rPr>
        <w:t>ی</w:t>
      </w:r>
      <w:r w:rsidRPr="000910F9">
        <w:rPr>
          <w:rFonts w:hint="eastAsia"/>
          <w:rtl/>
        </w:rPr>
        <w:t>ل</w:t>
      </w:r>
      <w:r w:rsidRPr="000910F9">
        <w:rPr>
          <w:rtl/>
        </w:rPr>
        <w:t xml:space="preserve"> م</w:t>
      </w:r>
      <w:r w:rsidRPr="000910F9">
        <w:rPr>
          <w:rFonts w:hint="cs"/>
          <w:rtl/>
        </w:rPr>
        <w:t>ی‌</w:t>
      </w:r>
      <w:r w:rsidRPr="000910F9">
        <w:rPr>
          <w:rFonts w:hint="eastAsia"/>
          <w:rtl/>
        </w:rPr>
        <w:t>دهد،</w:t>
      </w:r>
      <w:r w:rsidRPr="000910F9">
        <w:rPr>
          <w:rtl/>
        </w:rPr>
        <w:t xml:space="preserve"> در حال</w:t>
      </w:r>
      <w:r w:rsidRPr="000910F9">
        <w:rPr>
          <w:rFonts w:hint="cs"/>
          <w:rtl/>
        </w:rPr>
        <w:t>ی</w:t>
      </w:r>
      <w:r w:rsidRPr="000910F9">
        <w:rPr>
          <w:rtl/>
        </w:rPr>
        <w:t xml:space="preserve"> که مجموع طبقات مناسب و بس</w:t>
      </w:r>
      <w:r w:rsidRPr="000910F9">
        <w:rPr>
          <w:rFonts w:hint="cs"/>
          <w:rtl/>
        </w:rPr>
        <w:t>ی</w:t>
      </w:r>
      <w:r w:rsidRPr="000910F9">
        <w:rPr>
          <w:rFonts w:hint="eastAsia"/>
          <w:rtl/>
        </w:rPr>
        <w:t>ار</w:t>
      </w:r>
      <w:r w:rsidRPr="000910F9">
        <w:rPr>
          <w:rtl/>
        </w:rPr>
        <w:t xml:space="preserve"> مناسب </w:t>
      </w:r>
      <w:r>
        <w:rPr>
          <w:rFonts w:hint="cs"/>
          <w:rtl/>
        </w:rPr>
        <w:t>67/21</w:t>
      </w:r>
      <w:r w:rsidRPr="000910F9">
        <w:rPr>
          <w:rtl/>
        </w:rPr>
        <w:t xml:space="preserve"> درصد است. بخش باق</w:t>
      </w:r>
      <w:r w:rsidRPr="000910F9">
        <w:rPr>
          <w:rFonts w:hint="cs"/>
          <w:rtl/>
        </w:rPr>
        <w:t>ی‌</w:t>
      </w:r>
      <w:r w:rsidRPr="000910F9">
        <w:rPr>
          <w:rFonts w:hint="eastAsia"/>
          <w:rtl/>
        </w:rPr>
        <w:t>مانده،</w:t>
      </w:r>
      <w:r w:rsidRPr="000910F9">
        <w:rPr>
          <w:rtl/>
        </w:rPr>
        <w:t xml:space="preserve"> معادل </w:t>
      </w:r>
      <w:r>
        <w:rPr>
          <w:rFonts w:hint="cs"/>
          <w:rtl/>
        </w:rPr>
        <w:t>00/28</w:t>
      </w:r>
      <w:r w:rsidRPr="000910F9">
        <w:rPr>
          <w:rtl/>
        </w:rPr>
        <w:t xml:space="preserve"> درصد، در طبقه متوسط قرار گرفته است.</w:t>
      </w:r>
    </w:p>
    <w:p w14:paraId="6E3A21AA" w14:textId="77777777" w:rsidR="000910F9" w:rsidRDefault="000910F9" w:rsidP="000910F9">
      <w:pPr>
        <w:spacing w:after="60"/>
        <w:rPr>
          <w:rtl/>
        </w:rPr>
      </w:pPr>
      <w:r>
        <w:rPr>
          <w:rtl/>
        </w:rPr>
        <w:t>غلبه طبقات نامناسب و بسیار نامناسب را می‌توان ناشی از همپوشانی فضایی چندین محدودیت محیط‌زیستی دانست. این نتیجه به معنای آن نیست که توسعه معدن در کل منطقه امکان‌پذیر نیست؛ بلکه نشان می‌دهد توسعه فضایی بدون توجه به شرایط و محدودیت‌های محیطی می‌تواند با بخش قابل توجهی از محدودیت‌های محیط‌زیستی مواجه شود.</w:t>
      </w:r>
    </w:p>
    <w:p w14:paraId="472A68F3" w14:textId="77777777" w:rsidR="000910F9" w:rsidRDefault="000910F9" w:rsidP="00BC6905">
      <w:pPr>
        <w:spacing w:after="40"/>
      </w:pPr>
      <w:r w:rsidRPr="000910F9">
        <w:rPr>
          <w:rFonts w:hint="eastAsia"/>
          <w:rtl/>
        </w:rPr>
        <w:t>از</w:t>
      </w:r>
      <w:r w:rsidRPr="000910F9">
        <w:rPr>
          <w:rtl/>
        </w:rPr>
        <w:t xml:space="preserve"> سو</w:t>
      </w:r>
      <w:r w:rsidRPr="000910F9">
        <w:rPr>
          <w:rFonts w:hint="cs"/>
          <w:rtl/>
        </w:rPr>
        <w:t>ی</w:t>
      </w:r>
      <w:r w:rsidRPr="000910F9">
        <w:rPr>
          <w:rtl/>
        </w:rPr>
        <w:t xml:space="preserve"> د</w:t>
      </w:r>
      <w:r w:rsidRPr="000910F9">
        <w:rPr>
          <w:rFonts w:hint="cs"/>
          <w:rtl/>
        </w:rPr>
        <w:t>ی</w:t>
      </w:r>
      <w:r w:rsidRPr="000910F9">
        <w:rPr>
          <w:rFonts w:hint="eastAsia"/>
          <w:rtl/>
        </w:rPr>
        <w:t>گر،</w:t>
      </w:r>
      <w:r w:rsidRPr="000910F9">
        <w:rPr>
          <w:rtl/>
        </w:rPr>
        <w:t xml:space="preserve"> قرار گرفتن تنها </w:t>
      </w:r>
      <w:r w:rsidR="00BC6905">
        <w:rPr>
          <w:rFonts w:hint="cs"/>
          <w:rtl/>
        </w:rPr>
        <w:t>67/21</w:t>
      </w:r>
      <w:r w:rsidRPr="000910F9">
        <w:rPr>
          <w:rtl/>
        </w:rPr>
        <w:t xml:space="preserve"> درصد از منطقه در طبقات مناسب و بس</w:t>
      </w:r>
      <w:r w:rsidRPr="000910F9">
        <w:rPr>
          <w:rFonts w:hint="cs"/>
          <w:rtl/>
        </w:rPr>
        <w:t>ی</w:t>
      </w:r>
      <w:r w:rsidRPr="000910F9">
        <w:rPr>
          <w:rFonts w:hint="eastAsia"/>
          <w:rtl/>
        </w:rPr>
        <w:t>ار</w:t>
      </w:r>
      <w:r w:rsidRPr="000910F9">
        <w:rPr>
          <w:rtl/>
        </w:rPr>
        <w:t xml:space="preserve"> مناسب نشان م</w:t>
      </w:r>
      <w:r w:rsidRPr="000910F9">
        <w:rPr>
          <w:rFonts w:hint="cs"/>
          <w:rtl/>
        </w:rPr>
        <w:t>ی‌</w:t>
      </w:r>
      <w:r w:rsidRPr="000910F9">
        <w:rPr>
          <w:rFonts w:hint="eastAsia"/>
          <w:rtl/>
        </w:rPr>
        <w:t>دهد</w:t>
      </w:r>
      <w:r w:rsidRPr="000910F9">
        <w:rPr>
          <w:rtl/>
        </w:rPr>
        <w:t xml:space="preserve"> که پهنه‌ها</w:t>
      </w:r>
      <w:r w:rsidRPr="000910F9">
        <w:rPr>
          <w:rFonts w:hint="cs"/>
          <w:rtl/>
        </w:rPr>
        <w:t>ی</w:t>
      </w:r>
      <w:r w:rsidRPr="000910F9">
        <w:rPr>
          <w:rtl/>
        </w:rPr>
        <w:t xml:space="preserve"> دارا</w:t>
      </w:r>
      <w:r w:rsidRPr="000910F9">
        <w:rPr>
          <w:rFonts w:hint="cs"/>
          <w:rtl/>
        </w:rPr>
        <w:t>ی</w:t>
      </w:r>
      <w:r w:rsidRPr="000910F9">
        <w:rPr>
          <w:rtl/>
        </w:rPr>
        <w:t xml:space="preserve"> مطلوب</w:t>
      </w:r>
      <w:r w:rsidRPr="000910F9">
        <w:rPr>
          <w:rFonts w:hint="cs"/>
          <w:rtl/>
        </w:rPr>
        <w:t>ی</w:t>
      </w:r>
      <w:r w:rsidRPr="000910F9">
        <w:rPr>
          <w:rFonts w:hint="eastAsia"/>
          <w:rtl/>
        </w:rPr>
        <w:t>ت</w:t>
      </w:r>
      <w:r w:rsidRPr="000910F9">
        <w:rPr>
          <w:rtl/>
        </w:rPr>
        <w:t xml:space="preserve"> نسب</w:t>
      </w:r>
      <w:r w:rsidRPr="000910F9">
        <w:rPr>
          <w:rFonts w:hint="cs"/>
          <w:rtl/>
        </w:rPr>
        <w:t>ی</w:t>
      </w:r>
      <w:r w:rsidRPr="000910F9">
        <w:rPr>
          <w:rtl/>
        </w:rPr>
        <w:t xml:space="preserve"> محدود هستند و با</w:t>
      </w:r>
      <w:r w:rsidRPr="000910F9">
        <w:rPr>
          <w:rFonts w:hint="cs"/>
          <w:rtl/>
        </w:rPr>
        <w:t>ی</w:t>
      </w:r>
      <w:r w:rsidRPr="000910F9">
        <w:rPr>
          <w:rFonts w:hint="eastAsia"/>
          <w:rtl/>
        </w:rPr>
        <w:t>د</w:t>
      </w:r>
      <w:r w:rsidRPr="000910F9">
        <w:rPr>
          <w:rtl/>
        </w:rPr>
        <w:t xml:space="preserve"> پ</w:t>
      </w:r>
      <w:r w:rsidRPr="000910F9">
        <w:rPr>
          <w:rFonts w:hint="cs"/>
          <w:rtl/>
        </w:rPr>
        <w:t>ی</w:t>
      </w:r>
      <w:r w:rsidRPr="000910F9">
        <w:rPr>
          <w:rFonts w:hint="eastAsia"/>
          <w:rtl/>
        </w:rPr>
        <w:t>ش</w:t>
      </w:r>
      <w:r w:rsidRPr="000910F9">
        <w:rPr>
          <w:rtl/>
        </w:rPr>
        <w:t xml:space="preserve"> از هرگونه تصم</w:t>
      </w:r>
      <w:r w:rsidRPr="000910F9">
        <w:rPr>
          <w:rFonts w:hint="cs"/>
          <w:rtl/>
        </w:rPr>
        <w:t>ی</w:t>
      </w:r>
      <w:r w:rsidRPr="000910F9">
        <w:rPr>
          <w:rFonts w:hint="eastAsia"/>
          <w:rtl/>
        </w:rPr>
        <w:t>م</w:t>
      </w:r>
      <w:r w:rsidRPr="000910F9">
        <w:rPr>
          <w:rtl/>
        </w:rPr>
        <w:t xml:space="preserve"> اجرا</w:t>
      </w:r>
      <w:r w:rsidRPr="000910F9">
        <w:rPr>
          <w:rFonts w:hint="cs"/>
          <w:rtl/>
        </w:rPr>
        <w:t>یی</w:t>
      </w:r>
      <w:r w:rsidRPr="000910F9">
        <w:rPr>
          <w:rFonts w:hint="eastAsia"/>
          <w:rtl/>
        </w:rPr>
        <w:t>،</w:t>
      </w:r>
      <w:r w:rsidRPr="000910F9">
        <w:rPr>
          <w:rtl/>
        </w:rPr>
        <w:t xml:space="preserve"> با مطالعات تفص</w:t>
      </w:r>
      <w:r w:rsidRPr="000910F9">
        <w:rPr>
          <w:rFonts w:hint="cs"/>
          <w:rtl/>
        </w:rPr>
        <w:t>ی</w:t>
      </w:r>
      <w:r w:rsidRPr="000910F9">
        <w:rPr>
          <w:rFonts w:hint="eastAsia"/>
          <w:rtl/>
        </w:rPr>
        <w:t>ل</w:t>
      </w:r>
      <w:r w:rsidRPr="000910F9">
        <w:rPr>
          <w:rFonts w:hint="cs"/>
          <w:rtl/>
        </w:rPr>
        <w:t>ی</w:t>
      </w:r>
      <w:r w:rsidRPr="000910F9">
        <w:rPr>
          <w:rtl/>
        </w:rPr>
        <w:t xml:space="preserve"> و ارز</w:t>
      </w:r>
      <w:r w:rsidRPr="000910F9">
        <w:rPr>
          <w:rFonts w:hint="cs"/>
          <w:rtl/>
        </w:rPr>
        <w:t>ی</w:t>
      </w:r>
      <w:r w:rsidRPr="000910F9">
        <w:rPr>
          <w:rFonts w:hint="eastAsia"/>
          <w:rtl/>
        </w:rPr>
        <w:t>اب</w:t>
      </w:r>
      <w:r w:rsidRPr="000910F9">
        <w:rPr>
          <w:rFonts w:hint="cs"/>
          <w:rtl/>
        </w:rPr>
        <w:t>ی‌</w:t>
      </w:r>
      <w:r w:rsidRPr="000910F9">
        <w:rPr>
          <w:rFonts w:hint="eastAsia"/>
          <w:rtl/>
        </w:rPr>
        <w:t>ها</w:t>
      </w:r>
      <w:r w:rsidRPr="000910F9">
        <w:rPr>
          <w:rFonts w:hint="cs"/>
          <w:rtl/>
        </w:rPr>
        <w:t>ی</w:t>
      </w:r>
      <w:r w:rsidRPr="000910F9">
        <w:rPr>
          <w:rtl/>
        </w:rPr>
        <w:t xml:space="preserve"> مح</w:t>
      </w:r>
      <w:r w:rsidRPr="000910F9">
        <w:rPr>
          <w:rFonts w:hint="cs"/>
          <w:rtl/>
        </w:rPr>
        <w:t>ی</w:t>
      </w:r>
      <w:r w:rsidRPr="000910F9">
        <w:rPr>
          <w:rFonts w:hint="eastAsia"/>
          <w:rtl/>
        </w:rPr>
        <w:t>ط‌ز</w:t>
      </w:r>
      <w:r w:rsidRPr="000910F9">
        <w:rPr>
          <w:rFonts w:hint="cs"/>
          <w:rtl/>
        </w:rPr>
        <w:t>ی</w:t>
      </w:r>
      <w:r w:rsidRPr="000910F9">
        <w:rPr>
          <w:rFonts w:hint="eastAsia"/>
          <w:rtl/>
        </w:rPr>
        <w:t>ست</w:t>
      </w:r>
      <w:r w:rsidRPr="000910F9">
        <w:rPr>
          <w:rFonts w:hint="cs"/>
          <w:rtl/>
        </w:rPr>
        <w:t>ی</w:t>
      </w:r>
      <w:r w:rsidRPr="000910F9">
        <w:rPr>
          <w:rtl/>
        </w:rPr>
        <w:t xml:space="preserve"> تکم</w:t>
      </w:r>
      <w:r w:rsidRPr="000910F9">
        <w:rPr>
          <w:rFonts w:hint="cs"/>
          <w:rtl/>
        </w:rPr>
        <w:t>ی</w:t>
      </w:r>
      <w:r w:rsidRPr="000910F9">
        <w:rPr>
          <w:rFonts w:hint="eastAsia"/>
          <w:rtl/>
        </w:rPr>
        <w:t>ل</w:t>
      </w:r>
      <w:r w:rsidRPr="000910F9">
        <w:rPr>
          <w:rtl/>
        </w:rPr>
        <w:t xml:space="preserve"> شوند.</w:t>
      </w:r>
    </w:p>
    <w:p w14:paraId="41090539" w14:textId="77777777" w:rsidR="00462C54" w:rsidRPr="00FB51C2" w:rsidRDefault="00462C54" w:rsidP="0004441F">
      <w:pPr>
        <w:pStyle w:val="Heading2"/>
        <w:rPr>
          <w:b w:val="0"/>
          <w:bCs w:val="0"/>
        </w:rPr>
      </w:pPr>
      <w:r w:rsidRPr="00FB51C2">
        <w:rPr>
          <w:b w:val="0"/>
          <w:bCs w:val="0"/>
          <w:rtl/>
        </w:rPr>
        <w:t>مقایسه نتایج با مطالعات پیشین</w:t>
      </w:r>
    </w:p>
    <w:p w14:paraId="121A3879" w14:textId="77777777" w:rsidR="00462C54" w:rsidRDefault="00462C54" w:rsidP="0004441F">
      <w:r>
        <w:rPr>
          <w:rtl/>
        </w:rPr>
        <w:t>نتایج</w:t>
      </w:r>
      <w:r>
        <w:t xml:space="preserve"> </w:t>
      </w:r>
      <w:r>
        <w:rPr>
          <w:rtl/>
        </w:rPr>
        <w:t>پژوهش</w:t>
      </w:r>
      <w:r>
        <w:t xml:space="preserve"> </w:t>
      </w:r>
      <w:r>
        <w:rPr>
          <w:rtl/>
        </w:rPr>
        <w:t>حاضر</w:t>
      </w:r>
      <w:r>
        <w:t xml:space="preserve"> </w:t>
      </w:r>
      <w:r>
        <w:rPr>
          <w:rtl/>
        </w:rPr>
        <w:t>از</w:t>
      </w:r>
      <w:r>
        <w:t xml:space="preserve"> </w:t>
      </w:r>
      <w:r>
        <w:rPr>
          <w:rtl/>
        </w:rPr>
        <w:t>نظر</w:t>
      </w:r>
      <w:r>
        <w:t xml:space="preserve"> </w:t>
      </w:r>
      <w:r>
        <w:rPr>
          <w:rtl/>
        </w:rPr>
        <w:t>روش</w:t>
      </w:r>
      <w:r>
        <w:t>‌</w:t>
      </w:r>
      <w:r>
        <w:rPr>
          <w:rtl/>
        </w:rPr>
        <w:t>شناختی</w:t>
      </w:r>
      <w:r>
        <w:t xml:space="preserve"> </w:t>
      </w:r>
      <w:r>
        <w:rPr>
          <w:rtl/>
        </w:rPr>
        <w:t>با</w:t>
      </w:r>
      <w:r>
        <w:t xml:space="preserve"> </w:t>
      </w:r>
      <w:r>
        <w:rPr>
          <w:rtl/>
        </w:rPr>
        <w:t>مطالعات</w:t>
      </w:r>
      <w:r>
        <w:t xml:space="preserve"> </w:t>
      </w:r>
      <w:r>
        <w:rPr>
          <w:rtl/>
        </w:rPr>
        <w:t>مربوط</w:t>
      </w:r>
      <w:r>
        <w:t xml:space="preserve"> </w:t>
      </w:r>
      <w:r>
        <w:rPr>
          <w:rtl/>
        </w:rPr>
        <w:t>به</w:t>
      </w:r>
      <w:r>
        <w:t xml:space="preserve"> </w:t>
      </w:r>
      <w:r>
        <w:rPr>
          <w:rtl/>
        </w:rPr>
        <w:t>تلفیق</w:t>
      </w:r>
      <w:r>
        <w:t xml:space="preserve"> GIS </w:t>
      </w:r>
      <w:r>
        <w:rPr>
          <w:rtl/>
        </w:rPr>
        <w:t>و</w:t>
      </w:r>
      <w:r>
        <w:t xml:space="preserve"> </w:t>
      </w:r>
      <w:r>
        <w:rPr>
          <w:rtl/>
        </w:rPr>
        <w:t>روش</w:t>
      </w:r>
      <w:r>
        <w:t>‌</w:t>
      </w:r>
      <w:r>
        <w:rPr>
          <w:rtl/>
        </w:rPr>
        <w:t>های</w:t>
      </w:r>
      <w:r>
        <w:t xml:space="preserve"> </w:t>
      </w:r>
      <w:r>
        <w:rPr>
          <w:rtl/>
        </w:rPr>
        <w:t>تصمیم</w:t>
      </w:r>
      <w:r>
        <w:t>‌</w:t>
      </w:r>
      <w:r>
        <w:rPr>
          <w:rtl/>
        </w:rPr>
        <w:t>گیری</w:t>
      </w:r>
      <w:r>
        <w:t xml:space="preserve"> </w:t>
      </w:r>
      <w:r>
        <w:rPr>
          <w:rtl/>
        </w:rPr>
        <w:t>چندمعیاره</w:t>
      </w:r>
      <w:r>
        <w:t xml:space="preserve"> </w:t>
      </w:r>
      <w:r>
        <w:rPr>
          <w:rtl/>
        </w:rPr>
        <w:t>همخوانی</w:t>
      </w:r>
      <w:r>
        <w:t xml:space="preserve"> </w:t>
      </w:r>
      <w:r>
        <w:rPr>
          <w:rtl/>
        </w:rPr>
        <w:t>دارد</w:t>
      </w:r>
      <w:r w:rsidR="00E70E90">
        <w:t xml:space="preserve"> </w:t>
      </w:r>
      <w:r>
        <w:t xml:space="preserve">Carver, </w:t>
      </w:r>
      <w:r w:rsidR="00E70E90">
        <w:t>(</w:t>
      </w:r>
      <w:r>
        <w:t>1991</w:t>
      </w:r>
      <w:r w:rsidR="00E70E90">
        <w:t>)</w:t>
      </w:r>
      <w:r>
        <w:t xml:space="preserve">; Malczewski, </w:t>
      </w:r>
      <w:r w:rsidR="00E70E90">
        <w:t>(</w:t>
      </w:r>
      <w:r>
        <w:t>2006</w:t>
      </w:r>
      <w:r w:rsidR="00E70E90">
        <w:t>)</w:t>
      </w:r>
      <w:r>
        <w:t xml:space="preserve">; Store &amp; Kangas, </w:t>
      </w:r>
      <w:r w:rsidR="00E70E90">
        <w:t>(</w:t>
      </w:r>
      <w:r>
        <w:t xml:space="preserve">2001)  </w:t>
      </w:r>
      <w:r>
        <w:rPr>
          <w:rtl/>
        </w:rPr>
        <w:t>بر</w:t>
      </w:r>
      <w:r>
        <w:t xml:space="preserve"> </w:t>
      </w:r>
      <w:r>
        <w:rPr>
          <w:rtl/>
        </w:rPr>
        <w:t>قابلیت</w:t>
      </w:r>
      <w:r>
        <w:t xml:space="preserve"> </w:t>
      </w:r>
      <w:r>
        <w:rPr>
          <w:rtl/>
        </w:rPr>
        <w:t>تلفیق</w:t>
      </w:r>
      <w:r>
        <w:t xml:space="preserve"> </w:t>
      </w:r>
      <w:r>
        <w:rPr>
          <w:rtl/>
        </w:rPr>
        <w:t>اطلاعات</w:t>
      </w:r>
      <w:r>
        <w:t xml:space="preserve"> </w:t>
      </w:r>
      <w:r>
        <w:rPr>
          <w:rtl/>
        </w:rPr>
        <w:t>مکانی</w:t>
      </w:r>
      <w:r>
        <w:t xml:space="preserve"> </w:t>
      </w:r>
      <w:r>
        <w:rPr>
          <w:rtl/>
        </w:rPr>
        <w:t>و</w:t>
      </w:r>
      <w:r>
        <w:t xml:space="preserve"> </w:t>
      </w:r>
      <w:r>
        <w:rPr>
          <w:rtl/>
        </w:rPr>
        <w:t>قضاوت</w:t>
      </w:r>
      <w:r>
        <w:t>‌</w:t>
      </w:r>
      <w:r>
        <w:rPr>
          <w:rtl/>
        </w:rPr>
        <w:t>های</w:t>
      </w:r>
      <w:r>
        <w:t xml:space="preserve"> </w:t>
      </w:r>
      <w:r>
        <w:rPr>
          <w:rtl/>
        </w:rPr>
        <w:t>چندمعیاره</w:t>
      </w:r>
      <w:r>
        <w:t xml:space="preserve"> </w:t>
      </w:r>
      <w:r>
        <w:rPr>
          <w:rtl/>
        </w:rPr>
        <w:t>در</w:t>
      </w:r>
      <w:r>
        <w:t xml:space="preserve"> </w:t>
      </w:r>
      <w:r>
        <w:rPr>
          <w:rtl/>
        </w:rPr>
        <w:t>پشتیبانی</w:t>
      </w:r>
      <w:r>
        <w:t xml:space="preserve"> </w:t>
      </w:r>
      <w:r>
        <w:rPr>
          <w:rtl/>
        </w:rPr>
        <w:t>از</w:t>
      </w:r>
      <w:r>
        <w:t xml:space="preserve"> </w:t>
      </w:r>
      <w:r>
        <w:rPr>
          <w:rtl/>
        </w:rPr>
        <w:t>تصمیم</w:t>
      </w:r>
      <w:r>
        <w:t>‌</w:t>
      </w:r>
      <w:r>
        <w:rPr>
          <w:rtl/>
        </w:rPr>
        <w:t>گیری</w:t>
      </w:r>
      <w:r>
        <w:t xml:space="preserve"> </w:t>
      </w:r>
      <w:r>
        <w:rPr>
          <w:rtl/>
        </w:rPr>
        <w:t>فضایی</w:t>
      </w:r>
      <w:r>
        <w:t xml:space="preserve"> </w:t>
      </w:r>
      <w:r>
        <w:rPr>
          <w:rtl/>
        </w:rPr>
        <w:t>تأکید</w:t>
      </w:r>
      <w:r>
        <w:t xml:space="preserve"> </w:t>
      </w:r>
      <w:r>
        <w:rPr>
          <w:rtl/>
        </w:rPr>
        <w:t>کرده</w:t>
      </w:r>
      <w:r>
        <w:t>‌</w:t>
      </w:r>
      <w:r>
        <w:rPr>
          <w:rtl/>
        </w:rPr>
        <w:t>اند</w:t>
      </w:r>
      <w:r>
        <w:t xml:space="preserve">. </w:t>
      </w:r>
      <w:r>
        <w:rPr>
          <w:rtl/>
        </w:rPr>
        <w:t>همچنین،</w:t>
      </w:r>
      <w:r>
        <w:t xml:space="preserve"> Feizizadeh &amp; Blaschke, </w:t>
      </w:r>
      <w:r w:rsidR="00E70E90">
        <w:t>(</w:t>
      </w:r>
      <w:r>
        <w:t xml:space="preserve">2013) </w:t>
      </w:r>
      <w:r>
        <w:rPr>
          <w:rtl/>
        </w:rPr>
        <w:t>کاربرد</w:t>
      </w:r>
      <w:r>
        <w:t xml:space="preserve"> GIS–AHP </w:t>
      </w:r>
      <w:r>
        <w:rPr>
          <w:rtl/>
        </w:rPr>
        <w:t>را</w:t>
      </w:r>
      <w:r>
        <w:t xml:space="preserve"> </w:t>
      </w:r>
      <w:r>
        <w:rPr>
          <w:rtl/>
        </w:rPr>
        <w:t>در</w:t>
      </w:r>
      <w:r>
        <w:t xml:space="preserve"> </w:t>
      </w:r>
      <w:r>
        <w:rPr>
          <w:rtl/>
        </w:rPr>
        <w:t>تحلیل</w:t>
      </w:r>
      <w:r>
        <w:t xml:space="preserve"> </w:t>
      </w:r>
      <w:r>
        <w:rPr>
          <w:rtl/>
        </w:rPr>
        <w:t>تناسب</w:t>
      </w:r>
      <w:r>
        <w:t xml:space="preserve"> </w:t>
      </w:r>
      <w:r>
        <w:rPr>
          <w:rtl/>
        </w:rPr>
        <w:t>سرزمین</w:t>
      </w:r>
      <w:r>
        <w:t xml:space="preserve"> </w:t>
      </w:r>
      <w:r>
        <w:rPr>
          <w:rtl/>
        </w:rPr>
        <w:t>نشان</w:t>
      </w:r>
      <w:r>
        <w:t xml:space="preserve"> </w:t>
      </w:r>
      <w:r>
        <w:rPr>
          <w:rtl/>
        </w:rPr>
        <w:t>دادند</w:t>
      </w:r>
      <w:r w:rsidR="00E70E90">
        <w:rPr>
          <w:rFonts w:hint="cs"/>
          <w:rtl/>
        </w:rPr>
        <w:t>.</w:t>
      </w:r>
      <w:r>
        <w:t xml:space="preserve"> </w:t>
      </w:r>
    </w:p>
    <w:p w14:paraId="12F5287E" w14:textId="77777777" w:rsidR="00462C54" w:rsidRDefault="00462C54" w:rsidP="0004441F">
      <w:pPr>
        <w:rPr>
          <w:rtl/>
          <w:lang w:bidi="fa-IR"/>
        </w:rPr>
      </w:pPr>
      <w:r>
        <w:rPr>
          <w:rtl/>
        </w:rPr>
        <w:t>در</w:t>
      </w:r>
      <w:r>
        <w:t xml:space="preserve"> </w:t>
      </w:r>
      <w:r>
        <w:rPr>
          <w:rtl/>
        </w:rPr>
        <w:t>حوزه</w:t>
      </w:r>
      <w:r>
        <w:t xml:space="preserve"> </w:t>
      </w:r>
      <w:r>
        <w:rPr>
          <w:rtl/>
        </w:rPr>
        <w:t>معدن،</w:t>
      </w:r>
      <w:r>
        <w:t xml:space="preserve"> Craynon et al., </w:t>
      </w:r>
      <w:r w:rsidR="00E70E90">
        <w:t>(</w:t>
      </w:r>
      <w:r>
        <w:t xml:space="preserve">2016) </w:t>
      </w:r>
      <w:r>
        <w:rPr>
          <w:rtl/>
        </w:rPr>
        <w:t>نیز</w:t>
      </w:r>
      <w:r>
        <w:t xml:space="preserve"> </w:t>
      </w:r>
      <w:r>
        <w:rPr>
          <w:rtl/>
        </w:rPr>
        <w:t>نشان</w:t>
      </w:r>
      <w:r>
        <w:t xml:space="preserve"> </w:t>
      </w:r>
      <w:r>
        <w:rPr>
          <w:rtl/>
        </w:rPr>
        <w:t>دادند</w:t>
      </w:r>
      <w:r>
        <w:t xml:space="preserve"> </w:t>
      </w:r>
      <w:r>
        <w:rPr>
          <w:rtl/>
        </w:rPr>
        <w:t>که</w:t>
      </w:r>
      <w:r>
        <w:t xml:space="preserve"> </w:t>
      </w:r>
      <w:r>
        <w:rPr>
          <w:rtl/>
        </w:rPr>
        <w:t>تحلیل</w:t>
      </w:r>
      <w:r>
        <w:t xml:space="preserve"> </w:t>
      </w:r>
      <w:r>
        <w:rPr>
          <w:rtl/>
        </w:rPr>
        <w:t>مکانی</w:t>
      </w:r>
      <w:r>
        <w:t xml:space="preserve"> </w:t>
      </w:r>
      <w:r>
        <w:rPr>
          <w:rtl/>
        </w:rPr>
        <w:t>مبتنی</w:t>
      </w:r>
      <w:r>
        <w:t xml:space="preserve"> </w:t>
      </w:r>
      <w:r>
        <w:rPr>
          <w:rtl/>
        </w:rPr>
        <w:t>بر</w:t>
      </w:r>
      <w:r>
        <w:t xml:space="preserve"> GIS </w:t>
      </w:r>
      <w:r>
        <w:rPr>
          <w:rtl/>
        </w:rPr>
        <w:t>می</w:t>
      </w:r>
      <w:r>
        <w:t>‌</w:t>
      </w:r>
      <w:r>
        <w:rPr>
          <w:rtl/>
        </w:rPr>
        <w:t>تواند</w:t>
      </w:r>
      <w:r>
        <w:t xml:space="preserve"> </w:t>
      </w:r>
      <w:r>
        <w:rPr>
          <w:rtl/>
        </w:rPr>
        <w:t>در</w:t>
      </w:r>
      <w:r>
        <w:t xml:space="preserve"> </w:t>
      </w:r>
      <w:r>
        <w:rPr>
          <w:rtl/>
        </w:rPr>
        <w:t>شناسایی</w:t>
      </w:r>
      <w:r>
        <w:t xml:space="preserve"> </w:t>
      </w:r>
      <w:r>
        <w:rPr>
          <w:rtl/>
        </w:rPr>
        <w:t>مناطق</w:t>
      </w:r>
      <w:r>
        <w:t xml:space="preserve"> </w:t>
      </w:r>
      <w:r>
        <w:rPr>
          <w:rtl/>
        </w:rPr>
        <w:t>دارای</w:t>
      </w:r>
      <w:r>
        <w:t xml:space="preserve"> </w:t>
      </w:r>
      <w:r>
        <w:rPr>
          <w:rtl/>
        </w:rPr>
        <w:t>تعارض</w:t>
      </w:r>
      <w:r>
        <w:t xml:space="preserve"> </w:t>
      </w:r>
      <w:r>
        <w:rPr>
          <w:rtl/>
        </w:rPr>
        <w:t>میان</w:t>
      </w:r>
      <w:r>
        <w:t xml:space="preserve"> </w:t>
      </w:r>
      <w:r>
        <w:rPr>
          <w:rtl/>
        </w:rPr>
        <w:t>توسعه</w:t>
      </w:r>
      <w:r>
        <w:t xml:space="preserve"> </w:t>
      </w:r>
      <w:r>
        <w:rPr>
          <w:rtl/>
        </w:rPr>
        <w:t>معدن</w:t>
      </w:r>
      <w:r>
        <w:t xml:space="preserve"> </w:t>
      </w:r>
      <w:r>
        <w:rPr>
          <w:rtl/>
        </w:rPr>
        <w:t>و</w:t>
      </w:r>
      <w:r>
        <w:t xml:space="preserve"> </w:t>
      </w:r>
      <w:r>
        <w:rPr>
          <w:rtl/>
        </w:rPr>
        <w:t>اهداف</w:t>
      </w:r>
      <w:r>
        <w:t xml:space="preserve"> </w:t>
      </w:r>
      <w:r>
        <w:rPr>
          <w:rtl/>
        </w:rPr>
        <w:t>پایداری</w:t>
      </w:r>
      <w:r>
        <w:t xml:space="preserve"> </w:t>
      </w:r>
      <w:r>
        <w:rPr>
          <w:rtl/>
        </w:rPr>
        <w:t>مورد</w:t>
      </w:r>
      <w:r>
        <w:t xml:space="preserve"> </w:t>
      </w:r>
      <w:r>
        <w:rPr>
          <w:rtl/>
        </w:rPr>
        <w:t>استفاده</w:t>
      </w:r>
      <w:r>
        <w:t xml:space="preserve"> </w:t>
      </w:r>
      <w:r>
        <w:rPr>
          <w:rtl/>
        </w:rPr>
        <w:t>قرار</w:t>
      </w:r>
      <w:r>
        <w:t xml:space="preserve"> </w:t>
      </w:r>
      <w:r>
        <w:rPr>
          <w:rtl/>
        </w:rPr>
        <w:t>گیرد</w:t>
      </w:r>
      <w:r>
        <w:t xml:space="preserve"> Pouresmaieli et al., </w:t>
      </w:r>
      <w:r w:rsidR="00E70E90">
        <w:t>(</w:t>
      </w:r>
      <w:r>
        <w:t xml:space="preserve">2024) </w:t>
      </w:r>
      <w:r>
        <w:rPr>
          <w:rtl/>
        </w:rPr>
        <w:t>نیز</w:t>
      </w:r>
      <w:r>
        <w:t xml:space="preserve"> </w:t>
      </w:r>
      <w:r>
        <w:rPr>
          <w:rtl/>
        </w:rPr>
        <w:t>بر</w:t>
      </w:r>
      <w:r>
        <w:t xml:space="preserve"> </w:t>
      </w:r>
      <w:r>
        <w:rPr>
          <w:rtl/>
        </w:rPr>
        <w:t>نقش</w:t>
      </w:r>
      <w:r>
        <w:t xml:space="preserve"> </w:t>
      </w:r>
      <w:r>
        <w:rPr>
          <w:rtl/>
        </w:rPr>
        <w:t>روش</w:t>
      </w:r>
      <w:r>
        <w:t>‌</w:t>
      </w:r>
      <w:r>
        <w:rPr>
          <w:rtl/>
        </w:rPr>
        <w:t>های</w:t>
      </w:r>
      <w:r>
        <w:t xml:space="preserve"> </w:t>
      </w:r>
      <w:r>
        <w:rPr>
          <w:rtl/>
        </w:rPr>
        <w:t>تصمیم</w:t>
      </w:r>
      <w:r>
        <w:t>‌</w:t>
      </w:r>
      <w:r>
        <w:rPr>
          <w:rtl/>
        </w:rPr>
        <w:t>گیری</w:t>
      </w:r>
      <w:r>
        <w:t xml:space="preserve"> </w:t>
      </w:r>
      <w:r>
        <w:rPr>
          <w:rtl/>
        </w:rPr>
        <w:t>چندمعیاره</w:t>
      </w:r>
      <w:r>
        <w:t xml:space="preserve"> </w:t>
      </w:r>
      <w:r>
        <w:rPr>
          <w:rtl/>
        </w:rPr>
        <w:t>در</w:t>
      </w:r>
      <w:r>
        <w:t xml:space="preserve"> </w:t>
      </w:r>
      <w:r>
        <w:rPr>
          <w:rtl/>
        </w:rPr>
        <w:t>تصمیم</w:t>
      </w:r>
      <w:r>
        <w:t>‌</w:t>
      </w:r>
      <w:r>
        <w:rPr>
          <w:rtl/>
        </w:rPr>
        <w:t>گیری</w:t>
      </w:r>
      <w:r>
        <w:t xml:space="preserve"> </w:t>
      </w:r>
      <w:r>
        <w:rPr>
          <w:rtl/>
        </w:rPr>
        <w:t>پایدار</w:t>
      </w:r>
      <w:r>
        <w:t xml:space="preserve"> </w:t>
      </w:r>
      <w:r>
        <w:rPr>
          <w:rtl/>
        </w:rPr>
        <w:t>در</w:t>
      </w:r>
      <w:r>
        <w:t xml:space="preserve"> </w:t>
      </w:r>
      <w:r>
        <w:rPr>
          <w:rtl/>
        </w:rPr>
        <w:t>صنعت</w:t>
      </w:r>
      <w:r>
        <w:t xml:space="preserve"> </w:t>
      </w:r>
      <w:r>
        <w:rPr>
          <w:rtl/>
        </w:rPr>
        <w:t>معدن</w:t>
      </w:r>
      <w:r>
        <w:t xml:space="preserve"> </w:t>
      </w:r>
      <w:r>
        <w:rPr>
          <w:rtl/>
        </w:rPr>
        <w:t>تأکید</w:t>
      </w:r>
      <w:r>
        <w:t xml:space="preserve"> </w:t>
      </w:r>
      <w:r>
        <w:rPr>
          <w:rtl/>
        </w:rPr>
        <w:t>کرده</w:t>
      </w:r>
      <w:r>
        <w:t>‌</w:t>
      </w:r>
      <w:r>
        <w:rPr>
          <w:rtl/>
        </w:rPr>
        <w:t>اند</w:t>
      </w:r>
      <w:r w:rsidR="00E70E90">
        <w:t>.</w:t>
      </w:r>
    </w:p>
    <w:p w14:paraId="621F1588" w14:textId="77777777" w:rsidR="00462C54" w:rsidRDefault="00462C54" w:rsidP="0004441F">
      <w:r>
        <w:rPr>
          <w:rtl/>
        </w:rPr>
        <w:t>از نظر مطالعات مرتبط با سونگون نیز یافته‌های حاضر با اهمیت منابع آب و تغییرات سرزمین که در مطالعات پیشین این معدن مورد توجه قرار گرفته‌اند، همخوانی دارد</w:t>
      </w:r>
      <w:r w:rsidR="00BC6905">
        <w:rPr>
          <w:rFonts w:hint="cs"/>
          <w:rtl/>
        </w:rPr>
        <w:t>.</w:t>
      </w:r>
      <w:r>
        <w:rPr>
          <w:rtl/>
        </w:rPr>
        <w:t xml:space="preserve"> </w:t>
      </w:r>
      <w:r w:rsidR="00E70E90" w:rsidRPr="00E70E90">
        <w:rPr>
          <w:rtl/>
        </w:rPr>
        <w:t>(</w:t>
      </w:r>
      <w:r w:rsidR="00E70E90" w:rsidRPr="00E70E90">
        <w:t xml:space="preserve">Karimi Firozjaei Mohannad et al., </w:t>
      </w:r>
      <w:r w:rsidR="00E70E90">
        <w:t>(</w:t>
      </w:r>
      <w:r w:rsidR="00E70E90" w:rsidRPr="00E70E90">
        <w:t>2019</w:t>
      </w:r>
      <w:r w:rsidR="00E70E90">
        <w:rPr>
          <w:rFonts w:hint="cs"/>
          <w:rtl/>
          <w:lang w:bidi="fa-IR"/>
        </w:rPr>
        <w:t xml:space="preserve"> </w:t>
      </w:r>
      <w:r>
        <w:rPr>
          <w:rtl/>
        </w:rPr>
        <w:t>تغییرات زیست‌فیزیکی سطح زمین ناشی از فعالیت معدن سونگون را بررسی کردند و</w:t>
      </w:r>
      <w:r w:rsidR="00E70E90">
        <w:rPr>
          <w:rFonts w:hint="cs"/>
          <w:rtl/>
        </w:rPr>
        <w:t xml:space="preserve"> </w:t>
      </w:r>
      <w:r w:rsidR="00E70E90" w:rsidRPr="00E70E90">
        <w:rPr>
          <w:rtl/>
        </w:rPr>
        <w:t>(</w:t>
      </w:r>
      <w:r w:rsidR="00E70E90" w:rsidRPr="00E70E90">
        <w:t xml:space="preserve">Nabi Bidhendi et al., </w:t>
      </w:r>
      <w:r w:rsidR="00E70E90">
        <w:t>(</w:t>
      </w:r>
      <w:r w:rsidR="00E70E90" w:rsidRPr="00E70E90">
        <w:t>2007</w:t>
      </w:r>
      <w:r>
        <w:rPr>
          <w:rtl/>
        </w:rPr>
        <w:t xml:space="preserve"> نیز اثر فعالیت‌های معدن مس بر کیفیت آب سطحی را مورد مطالعه قرار دادند</w:t>
      </w:r>
      <w:r w:rsidR="00E70E90">
        <w:rPr>
          <w:rFonts w:hint="cs"/>
          <w:rtl/>
        </w:rPr>
        <w:t>.</w:t>
      </w:r>
      <w:r>
        <w:t xml:space="preserve"> </w:t>
      </w:r>
    </w:p>
    <w:p w14:paraId="5D89DF3E" w14:textId="77777777" w:rsidR="00462C54" w:rsidRPr="00BC6905" w:rsidRDefault="00462C54" w:rsidP="0004441F">
      <w:pPr>
        <w:rPr>
          <w:b/>
          <w:bCs/>
        </w:rPr>
      </w:pPr>
      <w:r>
        <w:rPr>
          <w:rtl/>
        </w:rPr>
        <w:t xml:space="preserve">در عین حال، پژوهش حاضر از نظر چارچوب تصمیم‌گیری با بسیاری از مطالعات پیشین تفاوت دارد؛ زیرا هدف آن صرفاً مکان‌یابی معدن یا ارزیابی یک اثر منفرد نیست، بلکه تلاش شده است </w:t>
      </w:r>
      <w:r w:rsidRPr="00BC6905">
        <w:rPr>
          <w:rStyle w:val="Strong"/>
          <w:b w:val="0"/>
          <w:bCs w:val="0"/>
          <w:rtl/>
        </w:rPr>
        <w:t>چارچوب</w:t>
      </w:r>
      <w:r w:rsidRPr="00BC6905">
        <w:rPr>
          <w:rStyle w:val="Strong"/>
          <w:b w:val="0"/>
          <w:bCs w:val="0"/>
        </w:rPr>
        <w:t xml:space="preserve"> SEA </w:t>
      </w:r>
      <w:r w:rsidRPr="00BC6905">
        <w:rPr>
          <w:rStyle w:val="Strong"/>
          <w:b w:val="0"/>
          <w:bCs w:val="0"/>
          <w:rtl/>
        </w:rPr>
        <w:t>با</w:t>
      </w:r>
      <w:r w:rsidRPr="00BC6905">
        <w:rPr>
          <w:rStyle w:val="Strong"/>
          <w:b w:val="0"/>
          <w:bCs w:val="0"/>
        </w:rPr>
        <w:t xml:space="preserve"> GIS </w:t>
      </w:r>
      <w:r w:rsidRPr="00BC6905">
        <w:rPr>
          <w:rStyle w:val="Strong"/>
          <w:b w:val="0"/>
          <w:bCs w:val="0"/>
          <w:rtl/>
        </w:rPr>
        <w:t>و</w:t>
      </w:r>
      <w:r w:rsidRPr="00BC6905">
        <w:rPr>
          <w:rStyle w:val="Strong"/>
          <w:b w:val="0"/>
          <w:bCs w:val="0"/>
        </w:rPr>
        <w:t xml:space="preserve"> AHP </w:t>
      </w:r>
      <w:r w:rsidRPr="00BC6905">
        <w:rPr>
          <w:rStyle w:val="Strong"/>
          <w:b w:val="0"/>
          <w:bCs w:val="0"/>
          <w:rtl/>
        </w:rPr>
        <w:t>در یک مدل تصمیم‌یار مکانی تلفیق شود</w:t>
      </w:r>
      <w:r w:rsidRPr="00BC6905">
        <w:rPr>
          <w:rStyle w:val="Strong"/>
          <w:b w:val="0"/>
          <w:bCs w:val="0"/>
        </w:rPr>
        <w:t>.</w:t>
      </w:r>
    </w:p>
    <w:p w14:paraId="0D462964" w14:textId="77777777" w:rsidR="00462C54" w:rsidRPr="00FB51C2" w:rsidRDefault="00462C54" w:rsidP="0004441F">
      <w:pPr>
        <w:spacing w:after="60"/>
        <w:rPr>
          <w:rtl/>
        </w:rPr>
      </w:pPr>
      <w:r>
        <w:rPr>
          <w:b/>
          <w:rtl/>
        </w:rPr>
        <w:t>اهمیت نتایج برای برنامه‌ریزی توسعه معدن سونگون</w:t>
      </w:r>
    </w:p>
    <w:p w14:paraId="57AE88F7" w14:textId="77777777" w:rsidR="00462C54" w:rsidRPr="00BC6905" w:rsidRDefault="00462C54" w:rsidP="00E02FA9">
      <w:pPr>
        <w:spacing w:after="40"/>
        <w:rPr>
          <w:b/>
          <w:bCs/>
        </w:rPr>
      </w:pPr>
      <w:r>
        <w:rPr>
          <w:rtl/>
        </w:rPr>
        <w:lastRenderedPageBreak/>
        <w:t xml:space="preserve">یکی از مهم‌ترین پیام‌های مدیریتی نتایج این پژوهش آن است که </w:t>
      </w:r>
      <w:r w:rsidRPr="00BC6905">
        <w:rPr>
          <w:rStyle w:val="Strong"/>
          <w:b w:val="0"/>
          <w:bCs w:val="0"/>
          <w:rtl/>
        </w:rPr>
        <w:t>پهنه‌بندی محیط‌زیستی باید پیش از تصمیم‌گیری درباره توسعه مکانی فعالیت‌های معدن مورد استفاده قرار گیرد</w:t>
      </w:r>
      <w:r w:rsidRPr="00BC6905">
        <w:rPr>
          <w:rStyle w:val="Strong"/>
          <w:b w:val="0"/>
          <w:bCs w:val="0"/>
        </w:rPr>
        <w:t>.</w:t>
      </w:r>
    </w:p>
    <w:p w14:paraId="5DC948F1" w14:textId="55650B80" w:rsidR="00462C54" w:rsidRDefault="00462C54" w:rsidP="0039687D">
      <w:pPr>
        <w:spacing w:after="40"/>
      </w:pPr>
      <w:r>
        <w:rPr>
          <w:rtl/>
        </w:rPr>
        <w:t xml:space="preserve">در این چارچوب، پهنه‌های بسیار نامناسب باید در اولویت اجتناب و حفاظت قرار گیرند. پهنه‌های نامناسب نیز نیازمند محدودیت و بررسی‌های دقیق‌تر هستند. پهنه‌های متوسط می‌توانند در صورت وجود ضرورت توسعه و پس از انجام مطالعات تکمیلی مورد بررسی قرار گیرند. پهنه‌های مناسب و بسیار مناسب نیز صرفاً </w:t>
      </w:r>
      <w:r w:rsidRPr="00BC6905">
        <w:rPr>
          <w:rStyle w:val="Strong"/>
          <w:b w:val="0"/>
          <w:bCs w:val="0"/>
          <w:rtl/>
        </w:rPr>
        <w:t>مطلوبیت نسبی بالاتری</w:t>
      </w:r>
      <w:r w:rsidRPr="00BC6905">
        <w:rPr>
          <w:b/>
          <w:bCs/>
          <w:rtl/>
        </w:rPr>
        <w:t xml:space="preserve"> </w:t>
      </w:r>
      <w:r>
        <w:rPr>
          <w:rtl/>
        </w:rPr>
        <w:t xml:space="preserve">نسبت به سایر پهنه‌ها دارند و به هیچ عنوان به معنای مجاز بودن قطعی توسعه یا بهره‌برداری نیستند. بنابراین، خروجی مدل باید به‌عنوان </w:t>
      </w:r>
      <w:r w:rsidRPr="0039687D">
        <w:rPr>
          <w:rStyle w:val="Strong"/>
          <w:b w:val="0"/>
          <w:bCs w:val="0"/>
          <w:rtl/>
        </w:rPr>
        <w:t>لایه پشتیبان تصمیم</w:t>
      </w:r>
      <w:r>
        <w:rPr>
          <w:rtl/>
        </w:rPr>
        <w:t xml:space="preserve"> مورد استفاده قرار گیرد و تصمیم نهایی به مطالعات تفصیلی، الزامات قانونی، ارزیابی اثرات محیط‌زیستی، </w:t>
      </w:r>
      <w:r w:rsidRPr="00534647">
        <w:rPr>
          <w:szCs w:val="28"/>
        </w:rPr>
        <w:t>HSE</w:t>
      </w:r>
      <w:r>
        <w:t xml:space="preserve"> </w:t>
      </w:r>
      <w:r w:rsidR="00534647">
        <w:rPr>
          <w:rFonts w:hint="cs"/>
          <w:rtl/>
        </w:rPr>
        <w:t xml:space="preserve"> </w:t>
      </w:r>
      <w:r>
        <w:rPr>
          <w:rtl/>
        </w:rPr>
        <w:t>و سایر بررسی‌های تخصصی وابسته باشد</w:t>
      </w:r>
      <w:r>
        <w:t>.</w:t>
      </w:r>
    </w:p>
    <w:p w14:paraId="0E001DE5" w14:textId="77777777" w:rsidR="00462C54" w:rsidRPr="00FB51C2" w:rsidRDefault="00462C54" w:rsidP="00FB51C2">
      <w:pPr>
        <w:spacing w:after="60"/>
        <w:rPr>
          <w:rtl/>
        </w:rPr>
      </w:pPr>
      <w:r>
        <w:rPr>
          <w:b/>
          <w:rtl/>
        </w:rPr>
        <w:t>اهمیت منابع آب در تصمیم‌گیری توسعه معدن</w:t>
      </w:r>
    </w:p>
    <w:p w14:paraId="35879396" w14:textId="77777777" w:rsidR="00462C54" w:rsidRDefault="00462C54" w:rsidP="00E02FA9">
      <w:pPr>
        <w:spacing w:after="60"/>
        <w:rPr>
          <w:rtl/>
        </w:rPr>
      </w:pPr>
      <w:r>
        <w:rPr>
          <w:rtl/>
        </w:rPr>
        <w:t>قرار گرفتن فاصله از منابع آب در رتبه نخست وزن‌دهی، مهم‌ترین یافته محیط‌زیستی مدل است. این نتیجه بیانگر آن است که در شرایط منطقه سونگون، توسعه معدن باید با رویکرد پیشگیری از تعارض با منابع آب سطحی و زیرزمینی انجام شود.</w:t>
      </w:r>
    </w:p>
    <w:p w14:paraId="2D35C094" w14:textId="77777777" w:rsidR="00462C54" w:rsidRDefault="00462C54" w:rsidP="00E02FA9">
      <w:pPr>
        <w:spacing w:after="40"/>
      </w:pPr>
      <w:r>
        <w:rPr>
          <w:rtl/>
        </w:rPr>
        <w:t>این نتیجه با مطالعات پیشین درباره پیامدهای معدنکاری بر کیفیت آب و حساسیت منابع آبی در مناطق معدنی سازگار است</w:t>
      </w:r>
      <w:r>
        <w:t xml:space="preserve">. </w:t>
      </w:r>
    </w:p>
    <w:p w14:paraId="0229B481" w14:textId="77777777" w:rsidR="00462C54" w:rsidRDefault="00462C54" w:rsidP="00E02FA9">
      <w:pPr>
        <w:spacing w:after="40"/>
      </w:pPr>
      <w:r>
        <w:rPr>
          <w:rtl/>
        </w:rPr>
        <w:t>از منظر مدیریتی، بنابراین توصیه می‌شود توسعه‌های آتی در نزدیکی منابع آب و شبکه زهکشی طبیعی، قبل از هرگونه تصمیم اجرایی، تحت مطالعات هیدروژئولوژیک و ارزیابی اثرات تجمعی قرار گیرند</w:t>
      </w:r>
      <w:r>
        <w:t>.</w:t>
      </w:r>
    </w:p>
    <w:p w14:paraId="14FE57F6" w14:textId="77777777" w:rsidR="00462C54" w:rsidRPr="00FB51C2" w:rsidRDefault="00462C54" w:rsidP="00FB51C2">
      <w:pPr>
        <w:spacing w:after="60"/>
        <w:rPr>
          <w:rtl/>
        </w:rPr>
      </w:pPr>
      <w:r>
        <w:rPr>
          <w:b/>
          <w:rtl/>
        </w:rPr>
        <w:t>اهمیت پوشش و کاربری اراضی</w:t>
      </w:r>
    </w:p>
    <w:p w14:paraId="7C813A74" w14:textId="77777777" w:rsidR="00462C54" w:rsidRDefault="00462C54" w:rsidP="0039687D">
      <w:pPr>
        <w:spacing w:after="40"/>
      </w:pPr>
      <w:r>
        <w:rPr>
          <w:rtl/>
        </w:rPr>
        <w:t xml:space="preserve">وزن </w:t>
      </w:r>
      <w:r w:rsidR="0039687D">
        <w:rPr>
          <w:rFonts w:hint="cs"/>
          <w:rtl/>
        </w:rPr>
        <w:t>189/0</w:t>
      </w:r>
      <w:r>
        <w:rPr>
          <w:rtl/>
        </w:rPr>
        <w:t xml:space="preserve"> برای پوشش و کاربری اراضی، این معیار را در رتبه دوم قرار داده است. این نتیجه نشان می‌دهد که حفاظت از پوشش طبیعی و جلوگیری از تبدیل کاربری‌های حساس باید در برنامه‌ریزی توسعه معدن مورد توجه قرار گیرد</w:t>
      </w:r>
      <w:r>
        <w:t>.</w:t>
      </w:r>
      <w:r w:rsidR="0039687D">
        <w:rPr>
          <w:rFonts w:hint="cs"/>
          <w:rtl/>
        </w:rPr>
        <w:t xml:space="preserve"> </w:t>
      </w:r>
      <w:r>
        <w:rPr>
          <w:rtl/>
        </w:rPr>
        <w:t>در واقع، توسعه معدن صرفاً موجب اشغال مستقیم زمین نمی‌شود؛ بلکه می‌تواند از طریق توسعه جاده‌ها، خطوط انتقال، تأسیسات، دپوهای باطله و سایر زیرساخت‌ها موجب گسترش اثرات فضایی فعالیت معدن شود. بنابراین، ارزیابی تناسب محیط‌زیستی باید فراتر از محدوده مستقیم عملیات استخراج باشد</w:t>
      </w:r>
      <w:r>
        <w:t>.</w:t>
      </w:r>
    </w:p>
    <w:p w14:paraId="04AC6CEE" w14:textId="77777777" w:rsidR="00462C54" w:rsidRPr="00FB51C2" w:rsidRDefault="00462C54" w:rsidP="0004441F">
      <w:pPr>
        <w:spacing w:after="60"/>
        <w:rPr>
          <w:rtl/>
        </w:rPr>
      </w:pPr>
      <w:r>
        <w:rPr>
          <w:b/>
          <w:rtl/>
        </w:rPr>
        <w:t xml:space="preserve">نقش </w:t>
      </w:r>
      <w:r w:rsidRPr="00534647">
        <w:rPr>
          <w:bCs/>
        </w:rPr>
        <w:t>HSE</w:t>
      </w:r>
      <w:r>
        <w:rPr>
          <w:b/>
          <w:rtl/>
        </w:rPr>
        <w:t xml:space="preserve"> و مدیریت ریسک در تفسیر نتایج</w:t>
      </w:r>
    </w:p>
    <w:p w14:paraId="65DB9271" w14:textId="77777777" w:rsidR="00462C54" w:rsidRDefault="00462C54" w:rsidP="00E02FA9">
      <w:pPr>
        <w:spacing w:after="40"/>
      </w:pPr>
      <w:r>
        <w:rPr>
          <w:rtl/>
        </w:rPr>
        <w:t>نتایج پهنه‌بندی به‌تنهایی برای تصمیم‌گیری نهایی کافی نیستند. مطالعه</w:t>
      </w:r>
      <w:r w:rsidR="00E44C42" w:rsidRPr="00565E44">
        <w:rPr>
          <w:rFonts w:asciiTheme="majorBidi" w:hAnsiTheme="majorBidi" w:cstheme="majorBidi"/>
          <w:sz w:val="20"/>
          <w:szCs w:val="22"/>
          <w:lang w:bidi="fa-IR"/>
        </w:rPr>
        <w:t>Pirizadeh</w:t>
      </w:r>
      <w:r w:rsidR="00E44C42" w:rsidRPr="00565E44">
        <w:t xml:space="preserve"> et al., </w:t>
      </w:r>
      <w:r w:rsidR="00E44C42">
        <w:t>(</w:t>
      </w:r>
      <w:r w:rsidR="00E44C42" w:rsidRPr="00565E44">
        <w:t>2025)</w:t>
      </w:r>
      <w:r w:rsidR="00E44C42">
        <w:rPr>
          <w:noProof/>
        </w:rPr>
        <w:t xml:space="preserve"> </w:t>
      </w:r>
      <w:r w:rsidR="00DA5219">
        <w:rPr>
          <w:rFonts w:hint="cs"/>
          <w:rtl/>
        </w:rPr>
        <w:t xml:space="preserve"> </w:t>
      </w:r>
      <w:r w:rsidR="00E44C42">
        <w:rPr>
          <w:rFonts w:hint="cs"/>
          <w:rtl/>
          <w:lang w:bidi="fa-IR"/>
        </w:rPr>
        <w:t xml:space="preserve"> </w:t>
      </w:r>
      <w:r>
        <w:rPr>
          <w:rtl/>
        </w:rPr>
        <w:t>درباره مجتمع مس آذربایجان (سونگون) نشان داده است که ارزیابی خطر، کنترل خطر، بازرسی، آمادگی شرایط اضطراری و شاخص‌های عملکرد</w:t>
      </w:r>
      <w:r>
        <w:t xml:space="preserve"> HSE </w:t>
      </w:r>
      <w:r>
        <w:rPr>
          <w:rtl/>
        </w:rPr>
        <w:t>از مؤلفه‌های مهم مدیریت</w:t>
      </w:r>
      <w:r>
        <w:t xml:space="preserve"> HSE </w:t>
      </w:r>
      <w:r>
        <w:rPr>
          <w:rtl/>
        </w:rPr>
        <w:t>هستند</w:t>
      </w:r>
      <w:r>
        <w:t xml:space="preserve">. </w:t>
      </w:r>
    </w:p>
    <w:p w14:paraId="338DEACB" w14:textId="77777777" w:rsidR="00462C54" w:rsidRDefault="00462C54" w:rsidP="00E02FA9">
      <w:pPr>
        <w:spacing w:after="40"/>
      </w:pPr>
      <w:r>
        <w:rPr>
          <w:rtl/>
        </w:rPr>
        <w:t xml:space="preserve">ازاین‌رو، چارچوب پیشنهادی پژوهش باید به‌صورت یک </w:t>
      </w:r>
      <w:r w:rsidRPr="0039687D">
        <w:rPr>
          <w:rStyle w:val="Strong"/>
          <w:b w:val="0"/>
          <w:bCs w:val="0"/>
          <w:rtl/>
        </w:rPr>
        <w:t>زنجیره تصمیم‌گیری چندمرحله‌ای</w:t>
      </w:r>
      <w:r>
        <w:rPr>
          <w:rtl/>
        </w:rPr>
        <w:t xml:space="preserve"> تفسیر شود</w:t>
      </w:r>
      <w:r>
        <w:t>:</w:t>
      </w:r>
    </w:p>
    <w:tbl>
      <w:tblPr>
        <w:tblStyle w:val="TableGrid"/>
        <w:bidiVisual/>
        <w:tblW w:w="5000" w:type="pct"/>
        <w:tblLook w:val="04A0" w:firstRow="1" w:lastRow="0" w:firstColumn="1" w:lastColumn="0" w:noHBand="0" w:noVBand="1"/>
      </w:tblPr>
      <w:tblGrid>
        <w:gridCol w:w="9062"/>
      </w:tblGrid>
      <w:tr w:rsidR="00E42EAA" w14:paraId="3ABB6903" w14:textId="77777777" w:rsidTr="00292C13">
        <w:tc>
          <w:tcPr>
            <w:tcW w:w="5000" w:type="pct"/>
            <w:vAlign w:val="center"/>
          </w:tcPr>
          <w:p w14:paraId="66753D3E" w14:textId="77777777" w:rsidR="00E42EAA" w:rsidRDefault="0092244D" w:rsidP="00E42EAA">
            <w:pPr>
              <w:jc w:val="center"/>
            </w:pPr>
            <w:r w:rsidRPr="0092244D">
              <w:rPr>
                <w:noProof/>
                <w:sz w:val="19"/>
                <w:rtl/>
              </w:rPr>
              <w:lastRenderedPageBreak/>
              <w:drawing>
                <wp:inline distT="0" distB="0" distL="0" distR="0" wp14:anchorId="46B324B5" wp14:editId="26CE2226">
                  <wp:extent cx="4320000" cy="4320000"/>
                  <wp:effectExtent l="114300" t="114300" r="118745" b="13779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20000" cy="4320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c>
      </w:tr>
      <w:tr w:rsidR="00E42EAA" w14:paraId="37E3958D" w14:textId="77777777" w:rsidTr="00292C13">
        <w:tc>
          <w:tcPr>
            <w:tcW w:w="5000" w:type="pct"/>
          </w:tcPr>
          <w:p w14:paraId="42B86ABC" w14:textId="77777777" w:rsidR="00E42EAA" w:rsidRPr="00DA5219" w:rsidRDefault="0092244D" w:rsidP="004A393F">
            <w:pPr>
              <w:ind w:firstLine="0"/>
              <w:rPr>
                <w:sz w:val="20"/>
                <w:szCs w:val="20"/>
                <w:lang w:bidi="fa-IR"/>
              </w:rPr>
            </w:pPr>
            <w:r w:rsidRPr="00DA5219">
              <w:rPr>
                <w:rStyle w:val="Strong"/>
                <w:rFonts w:hint="cs"/>
                <w:b w:val="0"/>
                <w:bCs w:val="0"/>
                <w:sz w:val="20"/>
                <w:szCs w:val="20"/>
                <w:rtl/>
              </w:rPr>
              <w:t>شکل</w:t>
            </w:r>
            <w:r w:rsidR="004A393F" w:rsidRPr="00DA5219">
              <w:rPr>
                <w:rStyle w:val="Strong"/>
                <w:rFonts w:hint="cs"/>
                <w:b w:val="0"/>
                <w:bCs w:val="0"/>
                <w:sz w:val="20"/>
                <w:szCs w:val="20"/>
                <w:rtl/>
              </w:rPr>
              <w:t>5</w:t>
            </w:r>
            <w:r w:rsidR="00292C13" w:rsidRPr="00DA5219">
              <w:rPr>
                <w:rStyle w:val="Strong"/>
                <w:rFonts w:hint="cs"/>
                <w:b w:val="0"/>
                <w:bCs w:val="0"/>
                <w:sz w:val="20"/>
                <w:szCs w:val="20"/>
                <w:rtl/>
              </w:rPr>
              <w:t>:</w:t>
            </w:r>
            <w:r w:rsidRPr="00DA5219">
              <w:rPr>
                <w:rStyle w:val="Strong"/>
                <w:b w:val="0"/>
                <w:bCs w:val="0"/>
                <w:sz w:val="20"/>
                <w:szCs w:val="20"/>
              </w:rPr>
              <w:t xml:space="preserve"> </w:t>
            </w:r>
            <w:r w:rsidRPr="00DA5219">
              <w:rPr>
                <w:rStyle w:val="Strong"/>
                <w:b w:val="0"/>
                <w:bCs w:val="0"/>
                <w:sz w:val="20"/>
                <w:szCs w:val="20"/>
                <w:rtl/>
              </w:rPr>
              <w:t>چارچوب پیشنهادی تلفیقی</w:t>
            </w:r>
            <w:r w:rsidRPr="00DA5219">
              <w:rPr>
                <w:rStyle w:val="Strong"/>
                <w:b w:val="0"/>
                <w:bCs w:val="0"/>
                <w:sz w:val="20"/>
                <w:szCs w:val="20"/>
              </w:rPr>
              <w:t xml:space="preserve"> SEA–GIS–AHP </w:t>
            </w:r>
            <w:r w:rsidRPr="00DA5219">
              <w:rPr>
                <w:rStyle w:val="Strong"/>
                <w:b w:val="0"/>
                <w:bCs w:val="0"/>
                <w:sz w:val="20"/>
                <w:szCs w:val="20"/>
                <w:rtl/>
              </w:rPr>
              <w:t>برای ارزیابی و تصمیم‌گیری درباره توسعه و بهره‌برداری معدن مس سونگون</w:t>
            </w:r>
          </w:p>
        </w:tc>
      </w:tr>
      <w:tr w:rsidR="00DA5219" w14:paraId="0F5551C9" w14:textId="77777777" w:rsidTr="00292C13">
        <w:tc>
          <w:tcPr>
            <w:tcW w:w="5000" w:type="pct"/>
          </w:tcPr>
          <w:p w14:paraId="30ED013D" w14:textId="77777777" w:rsidR="00DA5219" w:rsidRDefault="00DA5219" w:rsidP="00DA5219">
            <w:pPr>
              <w:bidi w:val="0"/>
              <w:ind w:firstLine="0"/>
              <w:rPr>
                <w:rStyle w:val="Strong"/>
                <w:b w:val="0"/>
                <w:bCs w:val="0"/>
                <w:sz w:val="19"/>
                <w:szCs w:val="24"/>
                <w:rtl/>
              </w:rPr>
            </w:pPr>
            <w:r w:rsidRPr="00DA5219">
              <w:rPr>
                <w:sz w:val="18"/>
                <w:szCs w:val="22"/>
              </w:rPr>
              <w:t>Figure 5: Proposed integrated SEA–GIS–AHP framework for environmental assessment and decision-making on Sungun Copper Mine development and exploitation</w:t>
            </w:r>
          </w:p>
        </w:tc>
      </w:tr>
    </w:tbl>
    <w:p w14:paraId="572F5094" w14:textId="77777777" w:rsidR="00462C54" w:rsidRDefault="00462C54" w:rsidP="00292C13">
      <w:pPr>
        <w:spacing w:after="40"/>
      </w:pPr>
      <w:r>
        <w:rPr>
          <w:rtl/>
        </w:rPr>
        <w:t>این رویکرد مانع از آن می‌شود که نقشه تناسب محیط‌زیستی به‌اشتباه به‌عنوان مجوز توسعه معدن تفسیر شود</w:t>
      </w:r>
      <w:r w:rsidR="00292C13">
        <w:rPr>
          <w:rFonts w:hint="cs"/>
          <w:rtl/>
        </w:rPr>
        <w:t>.</w:t>
      </w:r>
      <w:r>
        <w:t xml:space="preserve"> </w:t>
      </w:r>
    </w:p>
    <w:p w14:paraId="4D331F52" w14:textId="77777777" w:rsidR="00462C54" w:rsidRPr="00DA5219" w:rsidRDefault="00462C54" w:rsidP="00DA5219">
      <w:pPr>
        <w:spacing w:after="60"/>
        <w:rPr>
          <w:rtl/>
        </w:rPr>
      </w:pPr>
      <w:r>
        <w:rPr>
          <w:b/>
          <w:rtl/>
        </w:rPr>
        <w:t>نقش فناوری‌های نوین در کاهش شدت آثار محیط‌زیستی</w:t>
      </w:r>
    </w:p>
    <w:p w14:paraId="3D4579A9" w14:textId="77777777" w:rsidR="00462C54" w:rsidRDefault="00462C54" w:rsidP="00292C13">
      <w:pPr>
        <w:spacing w:after="40"/>
      </w:pPr>
      <w:r>
        <w:rPr>
          <w:rtl/>
        </w:rPr>
        <w:t xml:space="preserve">نتایج این پژوهش نشان می‌دهد که </w:t>
      </w:r>
      <w:r w:rsidRPr="00292C13">
        <w:rPr>
          <w:rStyle w:val="Strong"/>
          <w:b w:val="0"/>
          <w:bCs w:val="0"/>
          <w:rtl/>
        </w:rPr>
        <w:t>مکان مناسب شرط لازم، اما شرط کافی برای توسعه پایدار معدن نیست</w:t>
      </w:r>
      <w:r w:rsidR="00292C13">
        <w:rPr>
          <w:rFonts w:hint="cs"/>
          <w:rtl/>
        </w:rPr>
        <w:t>.</w:t>
      </w:r>
    </w:p>
    <w:p w14:paraId="2D591F50" w14:textId="77777777" w:rsidR="00462C54" w:rsidRDefault="00DA5219" w:rsidP="00AB3BA7">
      <w:pPr>
        <w:spacing w:after="40"/>
      </w:pPr>
      <w:r w:rsidRPr="00DA5219">
        <w:rPr>
          <w:rtl/>
        </w:rPr>
        <w:t>(</w:t>
      </w:r>
      <w:r w:rsidRPr="00DA5219">
        <w:t xml:space="preserve">Jafari Narinabad, </w:t>
      </w:r>
      <w:r>
        <w:t>(</w:t>
      </w:r>
      <w:r w:rsidRPr="00DA5219">
        <w:t>2026</w:t>
      </w:r>
      <w:r>
        <w:t xml:space="preserve"> </w:t>
      </w:r>
      <w:r>
        <w:rPr>
          <w:rFonts w:hint="cs"/>
          <w:rtl/>
        </w:rPr>
        <w:t xml:space="preserve"> </w:t>
      </w:r>
      <w:r w:rsidR="00462C54">
        <w:rPr>
          <w:rtl/>
        </w:rPr>
        <w:t xml:space="preserve">در مطالعه‌ای درباره روش‌های فرآوری مس، بر ظرفیت فناوری‌هایی مانند </w:t>
      </w:r>
      <w:r w:rsidR="00462C54" w:rsidRPr="00DA5219">
        <w:rPr>
          <w:rStyle w:val="Strong"/>
          <w:b w:val="0"/>
          <w:bCs w:val="0"/>
          <w:rtl/>
        </w:rPr>
        <w:t>بازیافت باطله، زیست‌لیچینگ و لیچینگ درجا</w:t>
      </w:r>
      <w:r w:rsidR="00462C54" w:rsidRPr="00DA5219">
        <w:rPr>
          <w:b/>
          <w:bCs/>
          <w:rtl/>
        </w:rPr>
        <w:t xml:space="preserve"> </w:t>
      </w:r>
      <w:r w:rsidR="00462C54">
        <w:rPr>
          <w:rtl/>
        </w:rPr>
        <w:t>برای افزایش بهره‌وری منابع و کاهش برخی فشارهای محیط‌زیستی تأکید کرده‌اند</w:t>
      </w:r>
      <w:r w:rsidR="00AB3BA7">
        <w:rPr>
          <w:rFonts w:hint="cs"/>
          <w:rtl/>
        </w:rPr>
        <w:t>.</w:t>
      </w:r>
      <w:r w:rsidR="00462C54">
        <w:t xml:space="preserve"> </w:t>
      </w:r>
    </w:p>
    <w:p w14:paraId="4F130E83" w14:textId="77777777" w:rsidR="00462C54" w:rsidRDefault="00462C54" w:rsidP="00E02FA9">
      <w:pPr>
        <w:spacing w:after="40"/>
      </w:pPr>
      <w:r>
        <w:rPr>
          <w:rtl/>
        </w:rPr>
        <w:t>بنابراین، راهبرد مناسب برای توسعه آینده سونگون باید ترکیبی از دو سطح باشد</w:t>
      </w:r>
      <w:r>
        <w:t>:</w:t>
      </w:r>
    </w:p>
    <w:p w14:paraId="29209840" w14:textId="77777777" w:rsidR="00462C54" w:rsidRPr="00292C13" w:rsidRDefault="00462C54" w:rsidP="00E02FA9">
      <w:pPr>
        <w:pStyle w:val="ListParagraph"/>
        <w:numPr>
          <w:ilvl w:val="0"/>
          <w:numId w:val="6"/>
        </w:numPr>
        <w:rPr>
          <w:b/>
          <w:bCs/>
        </w:rPr>
      </w:pPr>
      <w:r w:rsidRPr="00292C13">
        <w:rPr>
          <w:rStyle w:val="Strong"/>
          <w:b w:val="0"/>
          <w:bCs w:val="0"/>
          <w:rtl/>
        </w:rPr>
        <w:t>هدایت فضایی توسعه به سمت پهنه‌های دارای تعارض محیط‌زیستی کمتر؛</w:t>
      </w:r>
      <w:r w:rsidRPr="00292C13">
        <w:rPr>
          <w:b/>
          <w:bCs/>
          <w:rtl/>
        </w:rPr>
        <w:t xml:space="preserve"> </w:t>
      </w:r>
    </w:p>
    <w:p w14:paraId="627D8EDD" w14:textId="77777777" w:rsidR="00462C54" w:rsidRPr="00292C13" w:rsidRDefault="00462C54" w:rsidP="00292C13">
      <w:pPr>
        <w:pStyle w:val="ListParagraph"/>
        <w:numPr>
          <w:ilvl w:val="0"/>
          <w:numId w:val="6"/>
        </w:numPr>
        <w:rPr>
          <w:b/>
          <w:bCs/>
        </w:rPr>
      </w:pPr>
      <w:r w:rsidRPr="00292C13">
        <w:rPr>
          <w:rStyle w:val="Strong"/>
          <w:b w:val="0"/>
          <w:bCs w:val="0"/>
          <w:rtl/>
        </w:rPr>
        <w:t>استفاده از فناوری‌های نوین استخراج، فرآوری، مدیریت آب و مدیریت باطله برای کاهش شدت آثار محیط‌زیستی</w:t>
      </w:r>
      <w:r w:rsidR="00292C13">
        <w:rPr>
          <w:rFonts w:hint="cs"/>
          <w:b/>
          <w:bCs/>
          <w:rtl/>
        </w:rPr>
        <w:t>.</w:t>
      </w:r>
      <w:r w:rsidRPr="00292C13">
        <w:rPr>
          <w:b/>
          <w:bCs/>
        </w:rPr>
        <w:t xml:space="preserve"> </w:t>
      </w:r>
    </w:p>
    <w:p w14:paraId="05DE964C" w14:textId="77777777" w:rsidR="00462C54" w:rsidRDefault="00462C54" w:rsidP="00E02FA9">
      <w:pPr>
        <w:spacing w:after="60"/>
        <w:rPr>
          <w:rtl/>
        </w:rPr>
      </w:pPr>
      <w:r>
        <w:rPr>
          <w:rtl/>
        </w:rPr>
        <w:t xml:space="preserve">در نتیجه، یافته‌های پژوهش نباید به معنای توصیه به توقف توسعه معدن تفسیر شود؛ بلکه هدف آن هدایت توسعه به سمت گزینه‌هایی است که با شرایط و محدودیت‌های محیطی سرزمین سازگاری بیشتری داشته باشند. این برداشت </w:t>
      </w:r>
      <w:r>
        <w:rPr>
          <w:rtl/>
        </w:rPr>
        <w:lastRenderedPageBreak/>
        <w:t xml:space="preserve">با ماهیت </w:t>
      </w:r>
      <w:r>
        <w:t>SEA</w:t>
      </w:r>
      <w:r>
        <w:rPr>
          <w:rtl/>
        </w:rPr>
        <w:t xml:space="preserve"> نیز سازگار است؛ زیرا </w:t>
      </w:r>
      <w:r>
        <w:t>SEA</w:t>
      </w:r>
      <w:r>
        <w:rPr>
          <w:rtl/>
        </w:rPr>
        <w:t xml:space="preserve"> اساساً برای وارد کردن ملاحظات محیط‌زیستی به مراحل اولیه تصمیم‌گیری و مقایسه گزینه‌های توسعه طراحی شده است.</w:t>
      </w:r>
    </w:p>
    <w:p w14:paraId="47388533" w14:textId="77777777" w:rsidR="00DA5219" w:rsidRPr="003D7BF1" w:rsidRDefault="00DA5219" w:rsidP="00DA5219">
      <w:pPr>
        <w:keepNext/>
        <w:keepLines/>
        <w:outlineLvl w:val="0"/>
        <w:rPr>
          <w:rFonts w:ascii="Times New Roman Bold" w:eastAsiaTheme="majorEastAsia" w:hAnsi="Times New Roman Bold"/>
          <w:b/>
          <w:bCs/>
          <w:sz w:val="48"/>
          <w:szCs w:val="48"/>
          <w:rtl/>
        </w:rPr>
      </w:pPr>
      <w:r w:rsidRPr="003D7BF1">
        <w:rPr>
          <w:rFonts w:ascii="Times New Roman Bold" w:eastAsiaTheme="majorEastAsia" w:hAnsi="Times New Roman Bold"/>
          <w:b/>
          <w:bCs/>
          <w:sz w:val="28"/>
          <w:szCs w:val="32"/>
          <w:rtl/>
        </w:rPr>
        <w:t>نتیجه‌گیری</w:t>
      </w:r>
    </w:p>
    <w:p w14:paraId="5E5ADA14" w14:textId="6989BFD7" w:rsidR="00DA5219" w:rsidRPr="00DA5219" w:rsidRDefault="00DA5219" w:rsidP="00DA5219">
      <w:pPr>
        <w:rPr>
          <w:rFonts w:eastAsiaTheme="minorHAnsi"/>
          <w:rtl/>
        </w:rPr>
      </w:pPr>
      <w:r>
        <w:rPr>
          <w:rtl/>
        </w:rPr>
        <w:t xml:space="preserve">پژوهش حاضر با هدف ارزیابی راهبردی محیط‌زیست توسعه معدن مس سونگون و ارائه یک چارچوب تصمیمیار مکانی، مدل تلفیقی </w:t>
      </w:r>
      <w:r>
        <w:t>GIS–AHP</w:t>
      </w:r>
      <w:r>
        <w:rPr>
          <w:rtl/>
        </w:rPr>
        <w:t xml:space="preserve"> را در چارچوب </w:t>
      </w:r>
      <w:r>
        <w:t>SEA</w:t>
      </w:r>
      <w:r>
        <w:rPr>
          <w:rtl/>
        </w:rPr>
        <w:t xml:space="preserve"> به‌کار گرفت. نتایج نشان داد که فاصله از منابع آب با وزن 0.243 بیشترین وزن نسبی را دارد و پس از آن پوشش و کاربری اراضی (</w:t>
      </w:r>
      <w:r w:rsidR="00534647">
        <w:rPr>
          <w:rFonts w:hint="cs"/>
          <w:rtl/>
        </w:rPr>
        <w:t>189/0</w:t>
      </w:r>
      <w:r>
        <w:rPr>
          <w:rtl/>
        </w:rPr>
        <w:t>)، فاصله از آبراهه‌ها (</w:t>
      </w:r>
      <w:r w:rsidR="00534647">
        <w:rPr>
          <w:rFonts w:hint="cs"/>
          <w:rtl/>
        </w:rPr>
        <w:t>147/0</w:t>
      </w:r>
      <w:r>
        <w:rPr>
          <w:rtl/>
        </w:rPr>
        <w:t>)، سکونتگاه‌ها (</w:t>
      </w:r>
      <w:r w:rsidR="00534647">
        <w:rPr>
          <w:rFonts w:hint="cs"/>
          <w:rtl/>
        </w:rPr>
        <w:t>124/0</w:t>
      </w:r>
      <w:r>
        <w:rPr>
          <w:rtl/>
        </w:rPr>
        <w:t>)، راه‌ها (</w:t>
      </w:r>
      <w:r w:rsidR="00534647">
        <w:rPr>
          <w:rFonts w:hint="cs"/>
          <w:rtl/>
        </w:rPr>
        <w:t>106/0</w:t>
      </w:r>
      <w:r>
        <w:rPr>
          <w:rtl/>
        </w:rPr>
        <w:t>)، شیب (</w:t>
      </w:r>
      <w:r w:rsidR="00534647">
        <w:rPr>
          <w:rFonts w:hint="cs"/>
          <w:rtl/>
        </w:rPr>
        <w:t>098/0</w:t>
      </w:r>
      <w:r>
        <w:rPr>
          <w:rtl/>
        </w:rPr>
        <w:t>) و مناطق حفاظت‌شده (</w:t>
      </w:r>
      <w:r w:rsidR="00534647">
        <w:rPr>
          <w:rFonts w:hint="cs"/>
          <w:rtl/>
        </w:rPr>
        <w:t>093/0</w:t>
      </w:r>
      <w:r>
        <w:rPr>
          <w:rtl/>
        </w:rPr>
        <w:t xml:space="preserve">) قرار گرفتند. مقدار </w:t>
      </w:r>
      <w:r w:rsidRPr="00534647">
        <w:rPr>
          <w:rFonts w:asciiTheme="majorBidi" w:hAnsiTheme="majorBidi" w:cstheme="majorBidi"/>
          <w:sz w:val="18"/>
          <w:szCs w:val="22"/>
          <w:rtl/>
        </w:rPr>
        <w:t>CR=</w:t>
      </w:r>
      <w:r>
        <w:rPr>
          <w:rtl/>
        </w:rPr>
        <w:t>0</w:t>
      </w:r>
      <w:r w:rsidR="00534647">
        <w:rPr>
          <w:rFonts w:hint="cs"/>
          <w:rtl/>
        </w:rPr>
        <w:t>/</w:t>
      </w:r>
      <w:r>
        <w:rPr>
          <w:rtl/>
        </w:rPr>
        <w:t>08 نیز سازگاری قابل قبول قضاوت‌های زوجی خبرگان را نشان داد.</w:t>
      </w:r>
    </w:p>
    <w:p w14:paraId="5E6D2853" w14:textId="09BB485B" w:rsidR="00DA5219" w:rsidRPr="00DA5219" w:rsidRDefault="00DA5219" w:rsidP="00DA5219">
      <w:pPr>
        <w:spacing w:after="60"/>
        <w:rPr>
          <w:rFonts w:eastAsiaTheme="minorHAnsi"/>
          <w:rtl/>
        </w:rPr>
      </w:pPr>
      <w:r>
        <w:rPr>
          <w:rtl/>
        </w:rPr>
        <w:t xml:space="preserve">پس از استانداردسازی و وزن‌دهی لایه‌ها، شاخص تناسب محیط‌زیستی تولید و در پنج طبقه بسیار نامناسب تا بسیار مناسب طبقه‌بندی شد. از </w:t>
      </w:r>
      <w:r w:rsidR="006C513C">
        <w:rPr>
          <w:rtl/>
        </w:rPr>
        <w:t>89</w:t>
      </w:r>
      <w:r w:rsidR="006C513C">
        <w:rPr>
          <w:rFonts w:hint="cs"/>
          <w:rtl/>
        </w:rPr>
        <w:t>/</w:t>
      </w:r>
      <w:r w:rsidR="006C513C">
        <w:rPr>
          <w:rtl/>
        </w:rPr>
        <w:t>6463</w:t>
      </w:r>
      <w:r w:rsidR="006C513C">
        <w:rPr>
          <w:rFonts w:hint="cs"/>
          <w:rtl/>
        </w:rPr>
        <w:t xml:space="preserve"> </w:t>
      </w:r>
      <w:r>
        <w:rPr>
          <w:rtl/>
        </w:rPr>
        <w:t xml:space="preserve">هکتار محدوده، </w:t>
      </w:r>
      <w:r w:rsidR="006C513C">
        <w:rPr>
          <w:rtl/>
        </w:rPr>
        <w:t>60</w:t>
      </w:r>
      <w:r w:rsidR="006C513C">
        <w:rPr>
          <w:rFonts w:hint="cs"/>
          <w:rtl/>
        </w:rPr>
        <w:t>/</w:t>
      </w:r>
      <w:r w:rsidR="006C513C">
        <w:rPr>
          <w:rtl/>
        </w:rPr>
        <w:t>21</w:t>
      </w:r>
      <w:r>
        <w:rPr>
          <w:rtl/>
        </w:rPr>
        <w:t xml:space="preserve"> درصد بسیار نامناسب، </w:t>
      </w:r>
      <w:r w:rsidR="006C513C">
        <w:rPr>
          <w:rtl/>
        </w:rPr>
        <w:t>73</w:t>
      </w:r>
      <w:r w:rsidR="006C513C">
        <w:rPr>
          <w:rFonts w:hint="cs"/>
          <w:rtl/>
        </w:rPr>
        <w:t>/</w:t>
      </w:r>
      <w:r w:rsidR="006C513C">
        <w:rPr>
          <w:rtl/>
        </w:rPr>
        <w:t>28</w:t>
      </w:r>
      <w:r>
        <w:rPr>
          <w:rtl/>
        </w:rPr>
        <w:t xml:space="preserve"> درصد نامناسب، </w:t>
      </w:r>
      <w:r w:rsidR="006C513C">
        <w:rPr>
          <w:rtl/>
        </w:rPr>
        <w:t>00</w:t>
      </w:r>
      <w:r w:rsidR="006C513C">
        <w:rPr>
          <w:rFonts w:hint="cs"/>
          <w:rtl/>
        </w:rPr>
        <w:t>/</w:t>
      </w:r>
      <w:r w:rsidR="006C513C">
        <w:rPr>
          <w:rtl/>
        </w:rPr>
        <w:t>28</w:t>
      </w:r>
      <w:r>
        <w:rPr>
          <w:rtl/>
        </w:rPr>
        <w:t xml:space="preserve"> درصد متوسط، </w:t>
      </w:r>
      <w:r w:rsidR="006C513C">
        <w:rPr>
          <w:rtl/>
        </w:rPr>
        <w:t>06</w:t>
      </w:r>
      <w:r w:rsidR="006C513C">
        <w:rPr>
          <w:rFonts w:hint="cs"/>
          <w:rtl/>
        </w:rPr>
        <w:t>/</w:t>
      </w:r>
      <w:r w:rsidR="006C513C">
        <w:rPr>
          <w:rtl/>
        </w:rPr>
        <w:t>10</w:t>
      </w:r>
      <w:r>
        <w:rPr>
          <w:rtl/>
        </w:rPr>
        <w:t xml:space="preserve"> درصد مناسب و </w:t>
      </w:r>
      <w:r w:rsidR="006C513C">
        <w:rPr>
          <w:rFonts w:hint="cs"/>
          <w:rtl/>
        </w:rPr>
        <w:t>6</w:t>
      </w:r>
      <w:r>
        <w:rPr>
          <w:rtl/>
        </w:rPr>
        <w:t>1</w:t>
      </w:r>
      <w:r w:rsidR="006C513C">
        <w:rPr>
          <w:rFonts w:hint="cs"/>
          <w:rtl/>
        </w:rPr>
        <w:t>/1</w:t>
      </w:r>
      <w:r>
        <w:rPr>
          <w:rtl/>
        </w:rPr>
        <w:t xml:space="preserve">1 درصد بسیار مناسب بود. بنابراین، </w:t>
      </w:r>
      <w:r w:rsidR="006C513C">
        <w:rPr>
          <w:rtl/>
        </w:rPr>
        <w:t>33</w:t>
      </w:r>
      <w:r w:rsidR="006C513C">
        <w:rPr>
          <w:rFonts w:hint="cs"/>
          <w:rtl/>
        </w:rPr>
        <w:t>/</w:t>
      </w:r>
      <w:r w:rsidR="006C513C">
        <w:rPr>
          <w:rtl/>
        </w:rPr>
        <w:t>50</w:t>
      </w:r>
      <w:r>
        <w:rPr>
          <w:rtl/>
        </w:rPr>
        <w:t xml:space="preserve"> درصد محدوده در دو طبقه نامناسب و بسیار نامناسب و </w:t>
      </w:r>
      <w:r w:rsidR="006C513C">
        <w:rPr>
          <w:rtl/>
        </w:rPr>
        <w:t>67</w:t>
      </w:r>
      <w:r w:rsidR="006C513C">
        <w:rPr>
          <w:rFonts w:hint="cs"/>
          <w:rtl/>
        </w:rPr>
        <w:t>/</w:t>
      </w:r>
      <w:r w:rsidR="006C513C">
        <w:rPr>
          <w:rtl/>
        </w:rPr>
        <w:t>21</w:t>
      </w:r>
      <w:r>
        <w:rPr>
          <w:rtl/>
        </w:rPr>
        <w:t xml:space="preserve"> درصد در دو طبقه مناسب و بسیار مناسب قرار گرفت. این الگو نشان می‌دهد که محدودیت‌های محیط‌زیستی در محدوده مطالعه از نظر مکانی یکنواخت نیستند و توسعه آتی باید در مراحل اولیه تصمیم‌گیری به حساسیت‌های محیطی توجه کند.</w:t>
      </w:r>
    </w:p>
    <w:p w14:paraId="1CB0EA0C" w14:textId="77777777" w:rsidR="00DA5219" w:rsidRPr="00DA5219" w:rsidRDefault="00DA5219" w:rsidP="00DA5219">
      <w:pPr>
        <w:rPr>
          <w:rFonts w:eastAsiaTheme="minorHAnsi"/>
          <w:rtl/>
        </w:rPr>
      </w:pPr>
      <w:r>
        <w:rPr>
          <w:rtl/>
        </w:rPr>
        <w:t xml:space="preserve">از منظر راهبردی، مدل </w:t>
      </w:r>
      <w:r>
        <w:t>GIS–AHP</w:t>
      </w:r>
      <w:r>
        <w:rPr>
          <w:rtl/>
        </w:rPr>
        <w:t xml:space="preserve"> می‌تواند به‌عنوان ابزار غربالگری و پشتیبان تصمیم برای شناسایی پهنه‌های دارای تعارض محیط‌زیستی کمتر استفاده شود؛ بااین‌حال، طبقات مناسب و بسیار مناسب صرفاً بیانگر مطلوبیت نسبی در چارچوب معیارهای منتخب‌اند و مجوز توسعه محسوب نمی‌شوند. تصمیم نهایی باید به مطالعات تفصیلی محیط‌زیستی، هیدروژئولوژیک، ژئوتکنیکی، </w:t>
      </w:r>
      <w:r>
        <w:t>HSE</w:t>
      </w:r>
      <w:r>
        <w:rPr>
          <w:rtl/>
        </w:rPr>
        <w:t>، ریسک و الزامات قانونی متکی باشد. همچنین، انتخاب مکان و فناوری باید همزمان در نظر گرفته شود و فناوری‌های کم‌اثر می‌توانند به‌عنوان مکمل راهبرد فضایی مورد استفاده قرار گیرند.</w:t>
      </w:r>
    </w:p>
    <w:p w14:paraId="4A0F856E" w14:textId="77777777" w:rsidR="00DA5219" w:rsidRPr="00DA5219" w:rsidRDefault="00DA5219" w:rsidP="00DA5219">
      <w:pPr>
        <w:spacing w:after="60"/>
        <w:rPr>
          <w:rFonts w:eastAsiaTheme="minorHAnsi"/>
          <w:b/>
          <w:bCs/>
          <w:rtl/>
        </w:rPr>
      </w:pPr>
      <w:r>
        <w:rPr>
          <w:rtl/>
        </w:rPr>
        <w:t xml:space="preserve">نوآوری اصلی پژوهش در تلفیق چارچوب </w:t>
      </w:r>
      <w:r>
        <w:t>SEA</w:t>
      </w:r>
      <w:r>
        <w:rPr>
          <w:rtl/>
        </w:rPr>
        <w:t xml:space="preserve"> با </w:t>
      </w:r>
      <w:r>
        <w:t>GIS</w:t>
      </w:r>
      <w:r>
        <w:rPr>
          <w:rtl/>
        </w:rPr>
        <w:t xml:space="preserve"> و </w:t>
      </w:r>
      <w:r>
        <w:t>AHP</w:t>
      </w:r>
      <w:r>
        <w:rPr>
          <w:rtl/>
        </w:rPr>
        <w:t xml:space="preserve"> برای ایجاد یک مدل تصمیمیار فضایی در برنامه‌ریزی توسعه معدن مس سونگون است، نه در استفاده مستقل از هر یک از این ابزارها. خروجی مدل باید به‌عنوان غربالگری راهبردی تفسیر شود و نمی‌تواند تمام فرایندهای پیچیده اکولوژیکی، هیدروژئولوژیکی، اجتماعی و اقتصادی را بازنمایی کند. وزن‌های </w:t>
      </w:r>
      <w:r>
        <w:t>AHP</w:t>
      </w:r>
      <w:r>
        <w:rPr>
          <w:rtl/>
        </w:rPr>
        <w:t xml:space="preserve"> نیز دارای عدم‌قطعیت ناشی از قضاوت خبرگان و انتخاب معیارها و آستانه‌های استانداردسازی است؛ ازاین‌رو، تحلیل حساسیت و اعتبارسنجی مستقل می‌تواند در مطالعات بعدی پایداری نتایج را بیشتر بررسی کند.</w:t>
      </w:r>
    </w:p>
    <w:p w14:paraId="507EBA35" w14:textId="77777777" w:rsidR="00DA5219" w:rsidRPr="00DA5219" w:rsidRDefault="00DA5219" w:rsidP="00DA5219">
      <w:pPr>
        <w:spacing w:after="60"/>
        <w:rPr>
          <w:rFonts w:eastAsiaTheme="minorHAnsi"/>
          <w:rtl/>
        </w:rPr>
      </w:pPr>
      <w:r>
        <w:rPr>
          <w:rtl/>
        </w:rPr>
        <w:t>این چارچوب، با بازتنظیم معیارها، وزن‌ها، مقیاس تحلیل و داده‌های پایه، قابلیت توسعه برای سایر معادن مس استان آذربایجان شرقی را دارد. برای تصمیم‌های آتی، استفاده از مدل برای هدایت توسعه، حفاظت از پهنه‌های بسیار نامناسب، مدیریت منابع آب و زیرساخت‌های وابسته به معدن و تلفیق آن با ارزیابی اثرات تجمعی توصیه می‌شود.</w:t>
      </w:r>
    </w:p>
    <w:p w14:paraId="28BA56A7" w14:textId="77777777" w:rsidR="00DA5219" w:rsidRPr="00DA5219" w:rsidRDefault="00DA5219" w:rsidP="00DA5219">
      <w:pPr>
        <w:keepNext/>
        <w:keepLines/>
        <w:outlineLvl w:val="0"/>
        <w:rPr>
          <w:rFonts w:ascii="Times New Roman Bold" w:eastAsiaTheme="majorEastAsia" w:hAnsi="Times New Roman Bold"/>
          <w:b/>
          <w:bCs/>
          <w:sz w:val="28"/>
          <w:szCs w:val="32"/>
          <w:rtl/>
          <w:lang w:bidi="fa-IR"/>
        </w:rPr>
      </w:pPr>
      <w:r w:rsidRPr="00DA5219">
        <w:rPr>
          <w:rFonts w:ascii="Times New Roman Bold" w:eastAsiaTheme="majorEastAsia" w:hAnsi="Times New Roman Bold"/>
          <w:b/>
          <w:bCs/>
          <w:sz w:val="28"/>
          <w:szCs w:val="32"/>
          <w:rtl/>
        </w:rPr>
        <w:lastRenderedPageBreak/>
        <w:t>پیشنهادهای اجرایی پژوهش</w:t>
      </w:r>
    </w:p>
    <w:p w14:paraId="0F9AFE84" w14:textId="77777777" w:rsidR="00DA5219" w:rsidRPr="00DA5219" w:rsidRDefault="00DA5219" w:rsidP="00DA5219">
      <w:pPr>
        <w:rPr>
          <w:rFonts w:eastAsiaTheme="minorHAnsi"/>
          <w:rtl/>
        </w:rPr>
      </w:pPr>
      <w:r>
        <w:rPr>
          <w:rtl/>
        </w:rPr>
        <w:t>با توجه به یافته‌های پژوهش، پیشنهادهای اجرایی زیر ارائه می‌شود:</w:t>
      </w:r>
    </w:p>
    <w:p w14:paraId="79B0DBA1" w14:textId="2A604F09" w:rsidR="00DA5219" w:rsidRPr="006C513C" w:rsidRDefault="00DA5219" w:rsidP="00171788">
      <w:pPr>
        <w:numPr>
          <w:ilvl w:val="0"/>
          <w:numId w:val="8"/>
        </w:numPr>
        <w:ind w:left="1004"/>
        <w:contextualSpacing/>
        <w:rPr>
          <w:rFonts w:eastAsiaTheme="minorHAnsi"/>
          <w:rtl/>
        </w:rPr>
      </w:pPr>
      <w:r w:rsidRPr="006C513C">
        <w:rPr>
          <w:rFonts w:eastAsiaTheme="minorHAnsi"/>
          <w:rtl/>
        </w:rPr>
        <w:t>استفاده از نقشه تناسب محیط‌زیستی در برنامه‌ریزی توسعه معدن</w:t>
      </w:r>
      <w:r w:rsidR="006C513C" w:rsidRPr="006C513C">
        <w:rPr>
          <w:rFonts w:eastAsiaTheme="minorHAnsi" w:hint="cs"/>
          <w:rtl/>
        </w:rPr>
        <w:t xml:space="preserve">: </w:t>
      </w:r>
      <w:r>
        <w:rPr>
          <w:rtl/>
        </w:rPr>
        <w:t>پهنه‌های بسیار نامناسب، به‌ویژه مناطق دارای همپوشانی چند محدودیت، در اولویت اجتناب از توسعه و حفاظت محیط‌زیستی قرار گیرند.</w:t>
      </w:r>
    </w:p>
    <w:p w14:paraId="7A374A57" w14:textId="1B0741DE" w:rsidR="00DA5219" w:rsidRPr="006C513C" w:rsidRDefault="00DA5219" w:rsidP="00C71918">
      <w:pPr>
        <w:numPr>
          <w:ilvl w:val="0"/>
          <w:numId w:val="8"/>
        </w:numPr>
        <w:ind w:left="1004"/>
        <w:contextualSpacing/>
        <w:rPr>
          <w:rFonts w:eastAsiaTheme="minorHAnsi"/>
          <w:rtl/>
        </w:rPr>
      </w:pPr>
      <w:r w:rsidRPr="006C513C">
        <w:rPr>
          <w:rFonts w:eastAsiaTheme="minorHAnsi"/>
          <w:rtl/>
        </w:rPr>
        <w:t>اولویت حفاظت از پهنه‌های بسیار نامناسب</w:t>
      </w:r>
      <w:r w:rsidR="006C513C" w:rsidRPr="006C513C">
        <w:rPr>
          <w:rFonts w:eastAsiaTheme="minorHAnsi" w:hint="cs"/>
          <w:rtl/>
        </w:rPr>
        <w:t xml:space="preserve">: </w:t>
      </w:r>
      <w:r>
        <w:rPr>
          <w:rtl/>
        </w:rPr>
        <w:t>توسعه جدید در مجاورت منابع آب و آبراهه‌ها به مطالعات هیدروژئولوژیک، تعیین حریم مناسب و ارزیابی ریسک آلودگی آب منوط شود.</w:t>
      </w:r>
    </w:p>
    <w:p w14:paraId="4EF68AE1" w14:textId="118CE029" w:rsidR="00DA5219" w:rsidRPr="006C513C" w:rsidRDefault="00DA5219" w:rsidP="0065346F">
      <w:pPr>
        <w:numPr>
          <w:ilvl w:val="0"/>
          <w:numId w:val="8"/>
        </w:numPr>
        <w:ind w:left="1004"/>
        <w:contextualSpacing/>
        <w:rPr>
          <w:rFonts w:eastAsiaTheme="minorHAnsi"/>
          <w:rtl/>
        </w:rPr>
      </w:pPr>
      <w:r w:rsidRPr="006C513C">
        <w:rPr>
          <w:rFonts w:eastAsiaTheme="minorHAnsi"/>
          <w:rtl/>
        </w:rPr>
        <w:t>حفاظت ویژه از منابع آب</w:t>
      </w:r>
      <w:r w:rsidR="006C513C" w:rsidRPr="006C513C">
        <w:rPr>
          <w:rFonts w:eastAsiaTheme="minorHAnsi" w:hint="cs"/>
          <w:rtl/>
        </w:rPr>
        <w:t xml:space="preserve">: </w:t>
      </w:r>
      <w:r>
        <w:rPr>
          <w:rtl/>
        </w:rPr>
        <w:t>در برنامه‌ریزی جاده‌ها، خطوط انتقال، دپوهای باطله و تأسیسات فرآوری نیز از مدل تناسب محیط‌زیستی استفاده شود.</w:t>
      </w:r>
    </w:p>
    <w:p w14:paraId="5D362FE0" w14:textId="541FE29D" w:rsidR="00DA5219" w:rsidRPr="006C513C" w:rsidRDefault="00DA5219" w:rsidP="00DC67DD">
      <w:pPr>
        <w:numPr>
          <w:ilvl w:val="0"/>
          <w:numId w:val="8"/>
        </w:numPr>
        <w:ind w:left="1004"/>
        <w:rPr>
          <w:rFonts w:eastAsiaTheme="minorHAnsi"/>
          <w:rtl/>
        </w:rPr>
      </w:pPr>
      <w:r w:rsidRPr="006C513C">
        <w:rPr>
          <w:rFonts w:eastAsiaTheme="minorHAnsi"/>
          <w:b/>
          <w:rtl/>
        </w:rPr>
        <w:t>کنترل توسعه زیرساخت‌های وابسته به معدن:</w:t>
      </w:r>
      <w:r w:rsidR="006C513C" w:rsidRPr="006C513C">
        <w:rPr>
          <w:rFonts w:eastAsiaTheme="minorHAnsi" w:hint="cs"/>
          <w:b/>
          <w:rtl/>
        </w:rPr>
        <w:t xml:space="preserve"> </w:t>
      </w:r>
      <w:r>
        <w:rPr>
          <w:rtl/>
        </w:rPr>
        <w:t>در توسعه‌های آینده، فناوری‌های بازیافت باطله، زیست‌لیچینگ، مدیریت پیشرفته آب و فناوری‌های کم‌مصرف مورد توجه قرار گیرند.</w:t>
      </w:r>
    </w:p>
    <w:p w14:paraId="24D77EB1" w14:textId="66659201" w:rsidR="00DA5219" w:rsidRPr="006C513C" w:rsidRDefault="00DA5219" w:rsidP="00DF5AE7">
      <w:pPr>
        <w:numPr>
          <w:ilvl w:val="0"/>
          <w:numId w:val="8"/>
        </w:numPr>
        <w:ind w:left="1004"/>
        <w:rPr>
          <w:rFonts w:eastAsiaTheme="minorHAnsi"/>
          <w:rtl/>
        </w:rPr>
      </w:pPr>
      <w:r w:rsidRPr="006C513C">
        <w:rPr>
          <w:rFonts w:eastAsiaTheme="minorHAnsi"/>
          <w:b/>
          <w:rtl/>
        </w:rPr>
        <w:t>استفاده از فناوری‌های نوین استخراج و فرآوری:</w:t>
      </w:r>
      <w:r w:rsidR="006C513C" w:rsidRPr="006C513C">
        <w:rPr>
          <w:rFonts w:eastAsiaTheme="minorHAnsi" w:hint="cs"/>
          <w:rtl/>
        </w:rPr>
        <w:t xml:space="preserve"> </w:t>
      </w:r>
      <w:r>
        <w:rPr>
          <w:rtl/>
        </w:rPr>
        <w:t xml:space="preserve">در مطالعات آتی، مدل </w:t>
      </w:r>
      <w:r>
        <w:t>GIS–AHP</w:t>
      </w:r>
      <w:r>
        <w:rPr>
          <w:rtl/>
        </w:rPr>
        <w:t xml:space="preserve"> با </w:t>
      </w:r>
      <w:r>
        <w:t xml:space="preserve">Cumulative Impact Assessment </w:t>
      </w:r>
      <w:r w:rsidR="00E47662">
        <w:rPr>
          <w:rFonts w:hint="cs"/>
          <w:rtl/>
        </w:rPr>
        <w:t xml:space="preserve"> </w:t>
      </w:r>
      <w:r>
        <w:rPr>
          <w:rtl/>
        </w:rPr>
        <w:t>تلفیق شود تا همپوشانی آثار معادن و زیرساخت‌ها در مقیاس منطقه‌ای ارزیابی شود.</w:t>
      </w:r>
    </w:p>
    <w:p w14:paraId="5403E7DA" w14:textId="4DBCCF8D" w:rsidR="00DA5219" w:rsidRPr="00E47662" w:rsidRDefault="00DA5219" w:rsidP="00DA5157">
      <w:pPr>
        <w:numPr>
          <w:ilvl w:val="0"/>
          <w:numId w:val="8"/>
        </w:numPr>
        <w:ind w:left="1004"/>
        <w:rPr>
          <w:rFonts w:eastAsiaTheme="minorHAnsi"/>
          <w:rtl/>
        </w:rPr>
      </w:pPr>
      <w:r w:rsidRPr="00E47662">
        <w:rPr>
          <w:rFonts w:eastAsiaTheme="minorHAnsi"/>
          <w:b/>
          <w:rtl/>
        </w:rPr>
        <w:t>ادغام مدل مکانی با ارزیابی اثرات تجمعی:</w:t>
      </w:r>
      <w:r w:rsidR="00E47662" w:rsidRPr="00E47662">
        <w:rPr>
          <w:rFonts w:eastAsiaTheme="minorHAnsi" w:hint="cs"/>
          <w:rtl/>
        </w:rPr>
        <w:t xml:space="preserve"> </w:t>
      </w:r>
      <w:r>
        <w:rPr>
          <w:rtl/>
        </w:rPr>
        <w:t>داده‌های مدل با تغییر کاربری اراضی، محدوده معدن، شبکه راه‌ها و وضعیت منابع طبیعی به‌صورت دوره‌ای به‌روزرسانی شوند.</w:t>
      </w:r>
    </w:p>
    <w:p w14:paraId="70244197" w14:textId="1019307E" w:rsidR="00DA5219" w:rsidRPr="00E47662" w:rsidRDefault="00DA5219" w:rsidP="0030430A">
      <w:pPr>
        <w:numPr>
          <w:ilvl w:val="0"/>
          <w:numId w:val="8"/>
        </w:numPr>
        <w:ind w:left="1004"/>
        <w:rPr>
          <w:rFonts w:eastAsiaTheme="minorHAnsi"/>
          <w:rtl/>
        </w:rPr>
      </w:pPr>
      <w:r w:rsidRPr="00E47662">
        <w:rPr>
          <w:rFonts w:eastAsiaTheme="minorHAnsi"/>
          <w:b/>
          <w:rtl/>
        </w:rPr>
        <w:t>به‌روزرسانی دوره‌ای مدل:</w:t>
      </w:r>
      <w:r w:rsidR="00E47662" w:rsidRPr="00E47662">
        <w:rPr>
          <w:rFonts w:eastAsiaTheme="minorHAnsi" w:hint="cs"/>
          <w:rtl/>
        </w:rPr>
        <w:t xml:space="preserve"> </w:t>
      </w:r>
      <w:r>
        <w:rPr>
          <w:rtl/>
        </w:rPr>
        <w:t>چارچوب پژوهش با بازتنظیم معیارها و وزن‌ها در مقیاس استانی برای ارزیابی راهبردی مجموعه معادن مس آذربایجان شرقی توسعه یابد.</w:t>
      </w:r>
    </w:p>
    <w:p w14:paraId="0FF8DB99" w14:textId="5CF48AA3" w:rsidR="00DA5219" w:rsidRPr="00E47662" w:rsidRDefault="00DA5219" w:rsidP="00711CA8">
      <w:pPr>
        <w:numPr>
          <w:ilvl w:val="0"/>
          <w:numId w:val="8"/>
        </w:numPr>
        <w:ind w:left="1004"/>
        <w:rPr>
          <w:rFonts w:eastAsiaTheme="minorHAnsi"/>
          <w:rtl/>
        </w:rPr>
      </w:pPr>
      <w:r w:rsidRPr="00E47662">
        <w:rPr>
          <w:rFonts w:eastAsiaTheme="minorHAnsi"/>
          <w:b/>
          <w:rtl/>
        </w:rPr>
        <w:t>توسعه مدل برای کل معادن مس استان:</w:t>
      </w:r>
      <w:r w:rsidR="00E47662" w:rsidRPr="00E47662">
        <w:rPr>
          <w:rFonts w:eastAsiaTheme="minorHAnsi" w:hint="cs"/>
          <w:rtl/>
        </w:rPr>
        <w:t xml:space="preserve"> </w:t>
      </w:r>
      <w:r w:rsidRPr="00E47662">
        <w:rPr>
          <w:rFonts w:eastAsiaTheme="minorHAnsi"/>
          <w:rtl/>
        </w:rPr>
        <w:t>چارچوب ارائه‌شده در این پژوهش می‌تواند در مقیاس استانی توسعه یافته و برای ارزیابی راهبردی مجموعه معادن مس آذربایجان شرقی مورد استفاده قرار گیرد تا امکان مقایسه مکانی، شناسایی کانون‌های تجمع اثرات و تعیین مناطق اولویت‌دار برای حفاظت فراهم شود.</w:t>
      </w:r>
    </w:p>
    <w:p w14:paraId="590D293D" w14:textId="77777777" w:rsidR="00BF2EEE" w:rsidRPr="00FB51C2" w:rsidRDefault="002A7EF2" w:rsidP="0004441F">
      <w:pPr>
        <w:pStyle w:val="Heading1"/>
        <w:spacing w:before="140" w:after="60"/>
        <w:jc w:val="left"/>
        <w:rPr>
          <w:rFonts w:hint="cs"/>
          <w:sz w:val="24"/>
          <w:szCs w:val="28"/>
          <w:rtl/>
          <w:lang w:bidi="fa-IR"/>
        </w:rPr>
      </w:pPr>
      <w:r>
        <w:rPr>
          <w:rFonts w:hint="cs"/>
          <w:rtl/>
          <w:lang w:bidi="fa-IR"/>
        </w:rPr>
        <w:t>منابع</w:t>
      </w:r>
    </w:p>
    <w:p w14:paraId="68F3ECE3" w14:textId="77777777" w:rsidR="0029237B" w:rsidRDefault="00000000" w:rsidP="00E47662">
      <w:pPr>
        <w:bidi w:val="0"/>
        <w:ind w:left="567" w:firstLine="1134"/>
      </w:pPr>
      <w:r w:rsidRPr="00E47662">
        <w:rPr>
          <w:b/>
          <w:bCs/>
          <w:lang w:bidi="fa-IR"/>
        </w:rPr>
        <w:t xml:space="preserve">East Azerbaijan Provincial Department of Environment. (n.d.). </w:t>
      </w:r>
      <w:r w:rsidRPr="00E47662">
        <w:rPr>
          <w:lang w:bidi="fa-IR"/>
        </w:rPr>
        <w:t>Spatial datasets of environmental criteria and protected areas for the Sungun Copper Mine study area [Shapefiles].</w:t>
      </w:r>
      <w:r w:rsidRPr="00E47662">
        <w:rPr>
          <w:b/>
          <w:bCs/>
          <w:lang w:bidi="fa-IR"/>
        </w:rPr>
        <w:t xml:space="preserve"> Provincial Department of Environment, East Azerbaijan, Iran</w:t>
      </w:r>
      <w:r>
        <w:rPr>
          <w:sz w:val="19"/>
        </w:rPr>
        <w:t>.</w:t>
      </w:r>
    </w:p>
    <w:p w14:paraId="70D3B799" w14:textId="77777777" w:rsidR="0029237B" w:rsidRDefault="0029237B">
      <w:pPr>
        <w:rPr>
          <w:rFonts w:hint="cs"/>
          <w:lang w:bidi="fa-IR"/>
        </w:rPr>
      </w:pPr>
    </w:p>
    <w:p w14:paraId="05376172"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Bidstrup, M., Kørnøv, L., &amp; Partidário, M. R.</w:t>
      </w:r>
      <w:r w:rsidRPr="00FB51C2">
        <w:rPr>
          <w:rFonts w:asciiTheme="majorBidi" w:hAnsiTheme="majorBidi" w:cstheme="majorBidi"/>
          <w:sz w:val="20"/>
          <w:szCs w:val="22"/>
          <w:lang w:bidi="fa-IR"/>
        </w:rPr>
        <w:t> (2016). </w:t>
      </w:r>
      <w:r w:rsidRPr="00FB51C2">
        <w:rPr>
          <w:rFonts w:asciiTheme="majorBidi" w:hAnsiTheme="majorBidi" w:cstheme="majorBidi"/>
          <w:b/>
          <w:bCs/>
          <w:sz w:val="20"/>
          <w:szCs w:val="22"/>
          <w:lang w:bidi="fa-IR"/>
        </w:rPr>
        <w:t>Cumulative effects in strategic environmental assessment: The influence of plan boundaries</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Environmental Impact Assessment Review</w:t>
      </w:r>
      <w:r w:rsidRPr="00FB51C2">
        <w:rPr>
          <w:rFonts w:asciiTheme="majorBidi" w:hAnsiTheme="majorBidi" w:cstheme="majorBidi"/>
          <w:sz w:val="20"/>
          <w:szCs w:val="22"/>
          <w:lang w:bidi="fa-IR"/>
        </w:rPr>
        <w:t>, *57*, 151–158. </w:t>
      </w:r>
      <w:hyperlink r:id="rId13" w:tgtFrame="_blank" w:history="1">
        <w:r w:rsidRPr="00FB51C2">
          <w:rPr>
            <w:rStyle w:val="Hyperlink"/>
            <w:rFonts w:asciiTheme="majorBidi" w:hAnsiTheme="majorBidi" w:cstheme="majorBidi"/>
            <w:sz w:val="20"/>
            <w:szCs w:val="22"/>
            <w:lang w:bidi="fa-IR"/>
          </w:rPr>
          <w:t>https://doi.org/10.1016/j.eiar.2015.12.003</w:t>
        </w:r>
      </w:hyperlink>
    </w:p>
    <w:p w14:paraId="38A20571"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Carver, S. J.</w:t>
      </w:r>
      <w:r w:rsidRPr="00FB51C2">
        <w:rPr>
          <w:rFonts w:asciiTheme="majorBidi" w:hAnsiTheme="majorBidi" w:cstheme="majorBidi"/>
          <w:sz w:val="20"/>
          <w:szCs w:val="22"/>
          <w:lang w:bidi="fa-IR"/>
        </w:rPr>
        <w:t> (1991). </w:t>
      </w:r>
      <w:r w:rsidRPr="00FB51C2">
        <w:rPr>
          <w:rFonts w:asciiTheme="majorBidi" w:hAnsiTheme="majorBidi" w:cstheme="majorBidi"/>
          <w:b/>
          <w:bCs/>
          <w:sz w:val="20"/>
          <w:szCs w:val="22"/>
          <w:lang w:bidi="fa-IR"/>
        </w:rPr>
        <w:t>Integrating multi-criteria evaluation with geographical information systems</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International Journal of Geographical Information Systems</w:t>
      </w:r>
      <w:r w:rsidRPr="00FB51C2">
        <w:rPr>
          <w:rFonts w:asciiTheme="majorBidi" w:hAnsiTheme="majorBidi" w:cstheme="majorBidi"/>
          <w:sz w:val="20"/>
          <w:szCs w:val="22"/>
          <w:lang w:bidi="fa-IR"/>
        </w:rPr>
        <w:t>, *5*(3), 321–339. </w:t>
      </w:r>
      <w:hyperlink r:id="rId14" w:tgtFrame="_blank" w:history="1">
        <w:r w:rsidRPr="00FB51C2">
          <w:rPr>
            <w:rStyle w:val="Hyperlink"/>
            <w:rFonts w:asciiTheme="majorBidi" w:hAnsiTheme="majorBidi" w:cstheme="majorBidi"/>
            <w:sz w:val="20"/>
            <w:szCs w:val="22"/>
            <w:lang w:bidi="fa-IR"/>
          </w:rPr>
          <w:t>https://doi.org/10.1080/02693799108927858</w:t>
        </w:r>
      </w:hyperlink>
    </w:p>
    <w:p w14:paraId="3AB78E47"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Cavalcanti, P. M. P. S., &amp; La Rovere, E. L.</w:t>
      </w:r>
      <w:r w:rsidRPr="00FB51C2">
        <w:rPr>
          <w:rFonts w:asciiTheme="majorBidi" w:hAnsiTheme="majorBidi" w:cstheme="majorBidi"/>
          <w:sz w:val="20"/>
          <w:szCs w:val="22"/>
          <w:lang w:bidi="fa-IR"/>
        </w:rPr>
        <w:t> (2011). </w:t>
      </w:r>
      <w:r w:rsidRPr="00FB51C2">
        <w:rPr>
          <w:rFonts w:asciiTheme="majorBidi" w:hAnsiTheme="majorBidi" w:cstheme="majorBidi"/>
          <w:b/>
          <w:bCs/>
          <w:sz w:val="20"/>
          <w:szCs w:val="22"/>
          <w:lang w:bidi="fa-IR"/>
        </w:rPr>
        <w:t>Strategic environmental assessment of mining activities: A methodology for quantification of cumulative impacts on the air quality</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 xml:space="preserve">Journal </w:t>
      </w:r>
      <w:r w:rsidRPr="00FB51C2">
        <w:rPr>
          <w:rFonts w:asciiTheme="majorBidi" w:hAnsiTheme="majorBidi" w:cstheme="majorBidi"/>
          <w:i/>
          <w:iCs/>
          <w:sz w:val="20"/>
          <w:szCs w:val="22"/>
          <w:lang w:bidi="fa-IR"/>
        </w:rPr>
        <w:lastRenderedPageBreak/>
        <w:t>of the Air &amp; Waste Management Association</w:t>
      </w:r>
      <w:r w:rsidRPr="00FB51C2">
        <w:rPr>
          <w:rFonts w:asciiTheme="majorBidi" w:hAnsiTheme="majorBidi" w:cstheme="majorBidi"/>
          <w:sz w:val="20"/>
          <w:szCs w:val="22"/>
          <w:lang w:bidi="fa-IR"/>
        </w:rPr>
        <w:t>, *61*(4), 377–389. </w:t>
      </w:r>
      <w:hyperlink r:id="rId15" w:tgtFrame="_blank" w:history="1">
        <w:r w:rsidRPr="00FB51C2">
          <w:rPr>
            <w:rStyle w:val="Hyperlink"/>
            <w:rFonts w:asciiTheme="majorBidi" w:hAnsiTheme="majorBidi" w:cstheme="majorBidi"/>
            <w:sz w:val="20"/>
            <w:szCs w:val="22"/>
            <w:lang w:bidi="fa-IR"/>
          </w:rPr>
          <w:t>https://doi.org/10.3155/1047-3289.61.4.377</w:t>
        </w:r>
      </w:hyperlink>
    </w:p>
    <w:p w14:paraId="2EDA058C"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Craynon, J. R., Sarver, E. A., Ripepi, N. S., &amp; Karmis, M. E.</w:t>
      </w:r>
      <w:r w:rsidRPr="00FB51C2">
        <w:rPr>
          <w:rFonts w:asciiTheme="majorBidi" w:hAnsiTheme="majorBidi" w:cstheme="majorBidi"/>
          <w:sz w:val="20"/>
          <w:szCs w:val="22"/>
          <w:lang w:bidi="fa-IR"/>
        </w:rPr>
        <w:t> (2016). </w:t>
      </w:r>
      <w:r w:rsidRPr="00FB51C2">
        <w:rPr>
          <w:rFonts w:asciiTheme="majorBidi" w:hAnsiTheme="majorBidi" w:cstheme="majorBidi"/>
          <w:b/>
          <w:bCs/>
          <w:sz w:val="20"/>
          <w:szCs w:val="22"/>
          <w:lang w:bidi="fa-IR"/>
        </w:rPr>
        <w:t>A GIS-based methodology for identifying sustainability conflict areas in mine design: A case study from a surface coal mine in the USA</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International Journal of Mining, Reclamation and Environment</w:t>
      </w:r>
      <w:r w:rsidRPr="00FB51C2">
        <w:rPr>
          <w:rFonts w:asciiTheme="majorBidi" w:hAnsiTheme="majorBidi" w:cstheme="majorBidi"/>
          <w:sz w:val="20"/>
          <w:szCs w:val="22"/>
          <w:lang w:bidi="fa-IR"/>
        </w:rPr>
        <w:t>, *30*(3), 197–208. </w:t>
      </w:r>
      <w:hyperlink r:id="rId16" w:tgtFrame="_blank" w:history="1">
        <w:r w:rsidRPr="00FB51C2">
          <w:rPr>
            <w:rStyle w:val="Hyperlink"/>
            <w:rFonts w:asciiTheme="majorBidi" w:hAnsiTheme="majorBidi" w:cstheme="majorBidi"/>
            <w:sz w:val="20"/>
            <w:szCs w:val="22"/>
            <w:lang w:bidi="fa-IR"/>
          </w:rPr>
          <w:t>https://doi.org/10.1080/17480930.2015.1035872</w:t>
        </w:r>
      </w:hyperlink>
    </w:p>
    <w:p w14:paraId="7D1397D5"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Feizizadeh, B., &amp; Blaschke, T.</w:t>
      </w:r>
      <w:r w:rsidRPr="00FB51C2">
        <w:rPr>
          <w:rFonts w:asciiTheme="majorBidi" w:hAnsiTheme="majorBidi" w:cstheme="majorBidi"/>
          <w:sz w:val="20"/>
          <w:szCs w:val="22"/>
          <w:lang w:bidi="fa-IR"/>
        </w:rPr>
        <w:t> (2013). </w:t>
      </w:r>
      <w:r w:rsidRPr="00FB51C2">
        <w:rPr>
          <w:rFonts w:asciiTheme="majorBidi" w:hAnsiTheme="majorBidi" w:cstheme="majorBidi"/>
          <w:b/>
          <w:bCs/>
          <w:sz w:val="20"/>
          <w:szCs w:val="22"/>
          <w:lang w:bidi="fa-IR"/>
        </w:rPr>
        <w:t>Land suitability analysis for Tabriz County, Iran: A multi-criteria evaluation approach using GIS</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Journal of Environmental Planning and Management</w:t>
      </w:r>
      <w:r w:rsidRPr="00FB51C2">
        <w:rPr>
          <w:rFonts w:asciiTheme="majorBidi" w:hAnsiTheme="majorBidi" w:cstheme="majorBidi"/>
          <w:sz w:val="20"/>
          <w:szCs w:val="22"/>
          <w:lang w:bidi="fa-IR"/>
        </w:rPr>
        <w:t>, *56*(1), 1–23. </w:t>
      </w:r>
      <w:hyperlink r:id="rId17" w:tgtFrame="_blank" w:history="1">
        <w:r w:rsidRPr="00FB51C2">
          <w:rPr>
            <w:rStyle w:val="Hyperlink"/>
            <w:rFonts w:asciiTheme="majorBidi" w:hAnsiTheme="majorBidi" w:cstheme="majorBidi"/>
            <w:sz w:val="20"/>
            <w:szCs w:val="22"/>
            <w:lang w:bidi="fa-IR"/>
          </w:rPr>
          <w:t>https://doi.org/10.1080/09640568.2011.646964</w:t>
        </w:r>
      </w:hyperlink>
    </w:p>
    <w:p w14:paraId="73B4CD9F"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Fischer, T. B.</w:t>
      </w:r>
      <w:r w:rsidRPr="00FB51C2">
        <w:rPr>
          <w:rFonts w:asciiTheme="majorBidi" w:hAnsiTheme="majorBidi" w:cstheme="majorBidi"/>
          <w:sz w:val="20"/>
          <w:szCs w:val="22"/>
          <w:lang w:bidi="fa-IR"/>
        </w:rPr>
        <w:t> (2010). </w:t>
      </w:r>
      <w:r w:rsidRPr="00FB51C2">
        <w:rPr>
          <w:rFonts w:asciiTheme="majorBidi" w:hAnsiTheme="majorBidi" w:cstheme="majorBidi"/>
          <w:b/>
          <w:bCs/>
          <w:sz w:val="20"/>
          <w:szCs w:val="22"/>
          <w:lang w:bidi="fa-IR"/>
        </w:rPr>
        <w:t>The theory and practice of strategic environmental assessment: Towards a more systematic approach</w:t>
      </w:r>
      <w:r w:rsidRPr="00FB51C2">
        <w:rPr>
          <w:rFonts w:asciiTheme="majorBidi" w:hAnsiTheme="majorBidi" w:cstheme="majorBidi"/>
          <w:sz w:val="20"/>
          <w:szCs w:val="22"/>
          <w:lang w:bidi="fa-IR"/>
        </w:rPr>
        <w:t>. Routledge. London, UK.</w:t>
      </w:r>
    </w:p>
    <w:p w14:paraId="7A4147B7"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Fusco Girard, L., Cerreta, M., &amp; De Toro, P.</w:t>
      </w:r>
      <w:r w:rsidRPr="00FB51C2">
        <w:rPr>
          <w:rFonts w:asciiTheme="majorBidi" w:hAnsiTheme="majorBidi" w:cstheme="majorBidi"/>
          <w:sz w:val="20"/>
          <w:szCs w:val="22"/>
          <w:lang w:bidi="fa-IR"/>
        </w:rPr>
        <w:t> (2012). </w:t>
      </w:r>
      <w:r w:rsidRPr="00FB51C2">
        <w:rPr>
          <w:rFonts w:asciiTheme="majorBidi" w:hAnsiTheme="majorBidi" w:cstheme="majorBidi"/>
          <w:b/>
          <w:bCs/>
          <w:sz w:val="20"/>
          <w:szCs w:val="22"/>
          <w:lang w:bidi="fa-IR"/>
        </w:rPr>
        <w:t>Analytic hierarchy process (AHP) and geographical information systems (GIS): An integrated spatial assessment for planning strategic choices</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International Journal of the Analytic Hierarchy Process</w:t>
      </w:r>
      <w:r w:rsidRPr="00FB51C2">
        <w:rPr>
          <w:rFonts w:asciiTheme="majorBidi" w:hAnsiTheme="majorBidi" w:cstheme="majorBidi"/>
          <w:sz w:val="20"/>
          <w:szCs w:val="22"/>
          <w:lang w:bidi="fa-IR"/>
        </w:rPr>
        <w:t>, *4*(1). </w:t>
      </w:r>
      <w:hyperlink r:id="rId18" w:tgtFrame="_blank" w:history="1">
        <w:r w:rsidRPr="00FB51C2">
          <w:rPr>
            <w:rStyle w:val="Hyperlink"/>
            <w:rFonts w:asciiTheme="majorBidi" w:hAnsiTheme="majorBidi" w:cstheme="majorBidi"/>
            <w:sz w:val="20"/>
            <w:szCs w:val="22"/>
            <w:lang w:bidi="fa-IR"/>
          </w:rPr>
          <w:t>https://doi.org/10.13033/ijahp.v4i1.102</w:t>
        </w:r>
      </w:hyperlink>
    </w:p>
    <w:p w14:paraId="35693A88"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Gholami, A., Tokac, B., &amp; Zhang, Q.</w:t>
      </w:r>
      <w:r w:rsidRPr="00FB51C2">
        <w:rPr>
          <w:rFonts w:asciiTheme="majorBidi" w:hAnsiTheme="majorBidi" w:cstheme="majorBidi"/>
          <w:sz w:val="20"/>
          <w:szCs w:val="22"/>
          <w:lang w:bidi="fa-IR"/>
        </w:rPr>
        <w:t> (2024). </w:t>
      </w:r>
      <w:r w:rsidRPr="00FB51C2">
        <w:rPr>
          <w:rFonts w:asciiTheme="majorBidi" w:hAnsiTheme="majorBidi" w:cstheme="majorBidi"/>
          <w:b/>
          <w:bCs/>
          <w:sz w:val="20"/>
          <w:szCs w:val="22"/>
          <w:lang w:bidi="fa-IR"/>
        </w:rPr>
        <w:t>Knowledge synthesis on the mine life cycle and the mining value chain to address climate change</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Resources Policy</w:t>
      </w:r>
      <w:r w:rsidRPr="00FB51C2">
        <w:rPr>
          <w:rFonts w:asciiTheme="majorBidi" w:hAnsiTheme="majorBidi" w:cstheme="majorBidi"/>
          <w:sz w:val="20"/>
          <w:szCs w:val="22"/>
          <w:lang w:bidi="fa-IR"/>
        </w:rPr>
        <w:t>, *95*, 105183. </w:t>
      </w:r>
      <w:hyperlink r:id="rId19" w:tgtFrame="_blank" w:history="1">
        <w:r w:rsidRPr="00FB51C2">
          <w:rPr>
            <w:rStyle w:val="Hyperlink"/>
            <w:rFonts w:asciiTheme="majorBidi" w:hAnsiTheme="majorBidi" w:cstheme="majorBidi"/>
            <w:sz w:val="20"/>
            <w:szCs w:val="22"/>
            <w:lang w:bidi="fa-IR"/>
          </w:rPr>
          <w:t>https://doi.org/10.1016/j.resourpol.2024.105183</w:t>
        </w:r>
      </w:hyperlink>
    </w:p>
    <w:p w14:paraId="20F74169"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Gonzalez, A., &amp; Enríquez-de-Salamanca, Á.</w:t>
      </w:r>
      <w:r w:rsidRPr="00FB51C2">
        <w:rPr>
          <w:rFonts w:asciiTheme="majorBidi" w:hAnsiTheme="majorBidi" w:cstheme="majorBidi"/>
          <w:sz w:val="20"/>
          <w:szCs w:val="22"/>
          <w:lang w:bidi="fa-IR"/>
        </w:rPr>
        <w:t> (2018). </w:t>
      </w:r>
      <w:r w:rsidRPr="00FB51C2">
        <w:rPr>
          <w:rFonts w:asciiTheme="majorBidi" w:hAnsiTheme="majorBidi" w:cstheme="majorBidi"/>
          <w:b/>
          <w:bCs/>
          <w:sz w:val="20"/>
          <w:szCs w:val="22"/>
          <w:lang w:bidi="fa-IR"/>
        </w:rPr>
        <w:t>Spatial multi-criteria analysis in environmental assessment: A review and reflection on benefits and limitations</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Journal of Environmental Assessment Policy and Management</w:t>
      </w:r>
      <w:r w:rsidRPr="00FB51C2">
        <w:rPr>
          <w:rFonts w:asciiTheme="majorBidi" w:hAnsiTheme="majorBidi" w:cstheme="majorBidi"/>
          <w:sz w:val="20"/>
          <w:szCs w:val="22"/>
          <w:lang w:bidi="fa-IR"/>
        </w:rPr>
        <w:t>, *20*(3), 1840001. </w:t>
      </w:r>
      <w:hyperlink r:id="rId20" w:tgtFrame="_blank" w:history="1">
        <w:r w:rsidRPr="00FB51C2">
          <w:rPr>
            <w:rStyle w:val="Hyperlink"/>
            <w:rFonts w:asciiTheme="majorBidi" w:hAnsiTheme="majorBidi" w:cstheme="majorBidi"/>
            <w:sz w:val="20"/>
            <w:szCs w:val="22"/>
            <w:lang w:bidi="fa-IR"/>
          </w:rPr>
          <w:t>https://doi.org/10.1142/S146433321840001X</w:t>
        </w:r>
      </w:hyperlink>
    </w:p>
    <w:p w14:paraId="48950FFE"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González Del Campo, A., &amp; Geneletti, D.</w:t>
      </w:r>
      <w:r w:rsidRPr="00FB51C2">
        <w:rPr>
          <w:rFonts w:asciiTheme="majorBidi" w:hAnsiTheme="majorBidi" w:cstheme="majorBidi"/>
          <w:sz w:val="20"/>
          <w:szCs w:val="22"/>
          <w:lang w:bidi="fa-IR"/>
        </w:rPr>
        <w:t> (2021). </w:t>
      </w:r>
      <w:r w:rsidRPr="00FB51C2">
        <w:rPr>
          <w:rFonts w:asciiTheme="majorBidi" w:hAnsiTheme="majorBidi" w:cstheme="majorBidi"/>
          <w:b/>
          <w:bCs/>
          <w:sz w:val="20"/>
          <w:szCs w:val="22"/>
          <w:lang w:bidi="fa-IR"/>
        </w:rPr>
        <w:t>GIS-based strategic environmental assessment</w:t>
      </w:r>
      <w:r w:rsidRPr="00FB51C2">
        <w:rPr>
          <w:rFonts w:asciiTheme="majorBidi" w:hAnsiTheme="majorBidi" w:cstheme="majorBidi"/>
          <w:sz w:val="20"/>
          <w:szCs w:val="22"/>
          <w:lang w:bidi="fa-IR"/>
        </w:rPr>
        <w:t>. In T. B. Fischer &amp; A. González (Eds.), </w:t>
      </w:r>
      <w:r w:rsidRPr="00FB51C2">
        <w:rPr>
          <w:rFonts w:asciiTheme="majorBidi" w:hAnsiTheme="majorBidi" w:cstheme="majorBidi"/>
          <w:i/>
          <w:iCs/>
          <w:sz w:val="20"/>
          <w:szCs w:val="22"/>
          <w:lang w:bidi="fa-IR"/>
        </w:rPr>
        <w:t>Handbook on strategic environmental assessment</w:t>
      </w:r>
      <w:r w:rsidRPr="00FB51C2">
        <w:rPr>
          <w:rFonts w:asciiTheme="majorBidi" w:hAnsiTheme="majorBidi" w:cstheme="majorBidi"/>
          <w:sz w:val="20"/>
          <w:szCs w:val="22"/>
          <w:lang w:bidi="fa-IR"/>
        </w:rPr>
        <w:t> (pp. 80–98). Edward Elgar Publishing. Northampton, MA.</w:t>
      </w:r>
    </w:p>
    <w:p w14:paraId="19935B9E"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Gudissa, L., Raghuvanshi, T. K., Meten, M., &amp; Chemeda, Y. C.</w:t>
      </w:r>
      <w:r w:rsidRPr="00FB51C2">
        <w:rPr>
          <w:rFonts w:asciiTheme="majorBidi" w:hAnsiTheme="majorBidi" w:cstheme="majorBidi"/>
          <w:sz w:val="20"/>
          <w:szCs w:val="22"/>
          <w:lang w:bidi="fa-IR"/>
        </w:rPr>
        <w:t> (2022). </w:t>
      </w:r>
      <w:r w:rsidRPr="00FB51C2">
        <w:rPr>
          <w:rFonts w:asciiTheme="majorBidi" w:hAnsiTheme="majorBidi" w:cstheme="majorBidi"/>
          <w:b/>
          <w:bCs/>
          <w:sz w:val="20"/>
          <w:szCs w:val="22"/>
          <w:lang w:bidi="fa-IR"/>
        </w:rPr>
        <w:t>A GIS-AHP based approach for optimization of quarry site location around Harer and Dire-Dawa towns, Eastern Ethiopia</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Journal of Environmental Engineering and Landscape Management</w:t>
      </w:r>
      <w:r w:rsidRPr="00FB51C2">
        <w:rPr>
          <w:rFonts w:asciiTheme="majorBidi" w:hAnsiTheme="majorBidi" w:cstheme="majorBidi"/>
          <w:sz w:val="20"/>
          <w:szCs w:val="22"/>
          <w:lang w:bidi="fa-IR"/>
        </w:rPr>
        <w:t>, *30*(1), 151–164. </w:t>
      </w:r>
      <w:hyperlink r:id="rId21" w:tgtFrame="_blank" w:history="1">
        <w:r w:rsidRPr="00FB51C2">
          <w:rPr>
            <w:rStyle w:val="Hyperlink"/>
            <w:rFonts w:asciiTheme="majorBidi" w:hAnsiTheme="majorBidi" w:cstheme="majorBidi"/>
            <w:sz w:val="20"/>
            <w:szCs w:val="22"/>
            <w:lang w:bidi="fa-IR"/>
          </w:rPr>
          <w:t>https://doi.org/10.3846/jeelm.2022.16280</w:t>
        </w:r>
      </w:hyperlink>
    </w:p>
    <w:p w14:paraId="452E75CB"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Hilson, G.</w:t>
      </w:r>
      <w:r w:rsidRPr="00FB51C2">
        <w:rPr>
          <w:rFonts w:asciiTheme="majorBidi" w:hAnsiTheme="majorBidi" w:cstheme="majorBidi"/>
          <w:sz w:val="20"/>
          <w:szCs w:val="22"/>
          <w:lang w:bidi="fa-IR"/>
        </w:rPr>
        <w:t> (2002). </w:t>
      </w:r>
      <w:r w:rsidRPr="00FB51C2">
        <w:rPr>
          <w:rFonts w:asciiTheme="majorBidi" w:hAnsiTheme="majorBidi" w:cstheme="majorBidi"/>
          <w:b/>
          <w:bCs/>
          <w:sz w:val="20"/>
          <w:szCs w:val="22"/>
          <w:lang w:bidi="fa-IR"/>
        </w:rPr>
        <w:t>An overview of land use conflicts in mining communities</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Land Use Policy</w:t>
      </w:r>
      <w:r w:rsidRPr="00FB51C2">
        <w:rPr>
          <w:rFonts w:asciiTheme="majorBidi" w:hAnsiTheme="majorBidi" w:cstheme="majorBidi"/>
          <w:sz w:val="20"/>
          <w:szCs w:val="22"/>
          <w:lang w:bidi="fa-IR"/>
        </w:rPr>
        <w:t>, *19*(1), 65–73. </w:t>
      </w:r>
      <w:hyperlink r:id="rId22" w:tgtFrame="_blank" w:history="1">
        <w:r w:rsidRPr="00FB51C2">
          <w:rPr>
            <w:rStyle w:val="Hyperlink"/>
            <w:rFonts w:asciiTheme="majorBidi" w:hAnsiTheme="majorBidi" w:cstheme="majorBidi"/>
            <w:sz w:val="20"/>
            <w:szCs w:val="22"/>
            <w:lang w:bidi="fa-IR"/>
          </w:rPr>
          <w:t>https://doi.org/10.1016/S0264-8377(01)00043-6</w:t>
        </w:r>
      </w:hyperlink>
    </w:p>
    <w:p w14:paraId="2269CBD5"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Intergovernmental Forum on Mining, Metals and Sustainable Development.</w:t>
      </w:r>
      <w:r w:rsidRPr="00FB51C2">
        <w:rPr>
          <w:rFonts w:asciiTheme="majorBidi" w:hAnsiTheme="majorBidi" w:cstheme="majorBidi"/>
          <w:sz w:val="20"/>
          <w:szCs w:val="22"/>
          <w:lang w:bidi="fa-IR"/>
        </w:rPr>
        <w:t> (2024). </w:t>
      </w:r>
      <w:r w:rsidRPr="00FB51C2">
        <w:rPr>
          <w:rFonts w:asciiTheme="majorBidi" w:hAnsiTheme="majorBidi" w:cstheme="majorBidi"/>
          <w:b/>
          <w:bCs/>
          <w:sz w:val="20"/>
          <w:szCs w:val="22"/>
          <w:lang w:bidi="fa-IR"/>
        </w:rPr>
        <w:t>Strategic environmental assessment for the mining sector: Lessons from country case studies</w:t>
      </w:r>
      <w:r w:rsidRPr="00FB51C2">
        <w:rPr>
          <w:rFonts w:asciiTheme="majorBidi" w:hAnsiTheme="majorBidi" w:cstheme="majorBidi"/>
          <w:sz w:val="20"/>
          <w:szCs w:val="22"/>
          <w:lang w:bidi="fa-IR"/>
        </w:rPr>
        <w:t>. International Institute for Sustainable Development. </w:t>
      </w:r>
      <w:hyperlink r:id="rId23" w:tgtFrame="_blank" w:history="1">
        <w:r w:rsidRPr="00FB51C2">
          <w:rPr>
            <w:rStyle w:val="Hyperlink"/>
            <w:rFonts w:asciiTheme="majorBidi" w:hAnsiTheme="majorBidi" w:cstheme="majorBidi"/>
            <w:sz w:val="20"/>
            <w:szCs w:val="22"/>
            <w:lang w:bidi="fa-IR"/>
          </w:rPr>
          <w:t>https://www.iisd.org/publications/report/igf-strategic-environmental-assessment-mining</w:t>
        </w:r>
      </w:hyperlink>
    </w:p>
    <w:p w14:paraId="4FBD711C"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International Energy Agency.</w:t>
      </w:r>
      <w:r w:rsidRPr="00FB51C2">
        <w:rPr>
          <w:rFonts w:asciiTheme="majorBidi" w:hAnsiTheme="majorBidi" w:cstheme="majorBidi"/>
          <w:sz w:val="20"/>
          <w:szCs w:val="22"/>
          <w:lang w:bidi="fa-IR"/>
        </w:rPr>
        <w:t> (2021). </w:t>
      </w:r>
      <w:r w:rsidRPr="00FB51C2">
        <w:rPr>
          <w:rFonts w:asciiTheme="majorBidi" w:hAnsiTheme="majorBidi" w:cstheme="majorBidi"/>
          <w:b/>
          <w:bCs/>
          <w:sz w:val="20"/>
          <w:szCs w:val="22"/>
          <w:lang w:bidi="fa-IR"/>
        </w:rPr>
        <w:t>The role of critical minerals in clean energy transitions</w:t>
      </w:r>
      <w:r w:rsidRPr="00FB51C2">
        <w:rPr>
          <w:rFonts w:asciiTheme="majorBidi" w:hAnsiTheme="majorBidi" w:cstheme="majorBidi"/>
          <w:sz w:val="20"/>
          <w:szCs w:val="22"/>
          <w:lang w:bidi="fa-IR"/>
        </w:rPr>
        <w:t>. OECD Publishing. </w:t>
      </w:r>
      <w:hyperlink r:id="rId24" w:tgtFrame="_blank" w:history="1">
        <w:r w:rsidRPr="00FB51C2">
          <w:rPr>
            <w:rStyle w:val="Hyperlink"/>
            <w:rFonts w:asciiTheme="majorBidi" w:hAnsiTheme="majorBidi" w:cstheme="majorBidi"/>
            <w:sz w:val="20"/>
            <w:szCs w:val="22"/>
            <w:lang w:bidi="fa-IR"/>
          </w:rPr>
          <w:t>https://doi.org/10.1787/f262b91c-en</w:t>
        </w:r>
      </w:hyperlink>
    </w:p>
    <w:p w14:paraId="31A92AFF"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International Energy Agency.</w:t>
      </w:r>
      <w:r w:rsidRPr="00FB51C2">
        <w:rPr>
          <w:rFonts w:asciiTheme="majorBidi" w:hAnsiTheme="majorBidi" w:cstheme="majorBidi"/>
          <w:sz w:val="20"/>
          <w:szCs w:val="22"/>
          <w:lang w:bidi="fa-IR"/>
        </w:rPr>
        <w:t> (2025). </w:t>
      </w:r>
      <w:r w:rsidRPr="00FB51C2">
        <w:rPr>
          <w:rFonts w:asciiTheme="majorBidi" w:hAnsiTheme="majorBidi" w:cstheme="majorBidi"/>
          <w:b/>
          <w:bCs/>
          <w:sz w:val="20"/>
          <w:szCs w:val="22"/>
          <w:lang w:bidi="fa-IR"/>
        </w:rPr>
        <w:t>Copper: Outlook for key energy transition minerals</w:t>
      </w:r>
      <w:r w:rsidRPr="00FB51C2">
        <w:rPr>
          <w:rFonts w:asciiTheme="majorBidi" w:hAnsiTheme="majorBidi" w:cstheme="majorBidi"/>
          <w:sz w:val="20"/>
          <w:szCs w:val="22"/>
          <w:lang w:bidi="fa-IR"/>
        </w:rPr>
        <w:t>. International Energy Agency. </w:t>
      </w:r>
      <w:hyperlink r:id="rId25" w:tgtFrame="_blank" w:history="1">
        <w:r w:rsidRPr="00FB51C2">
          <w:rPr>
            <w:rStyle w:val="Hyperlink"/>
            <w:rFonts w:asciiTheme="majorBidi" w:hAnsiTheme="majorBidi" w:cstheme="majorBidi"/>
            <w:sz w:val="20"/>
            <w:szCs w:val="22"/>
            <w:lang w:bidi="fa-IR"/>
          </w:rPr>
          <w:t>https://www.iea.org/reports/copper-2</w:t>
        </w:r>
      </w:hyperlink>
    </w:p>
    <w:p w14:paraId="41E33AB9"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lastRenderedPageBreak/>
        <w:t>Jafari Narinabad, N., &amp; Ramazani, M. E.</w:t>
      </w:r>
      <w:r w:rsidRPr="00FB51C2">
        <w:rPr>
          <w:rFonts w:asciiTheme="majorBidi" w:hAnsiTheme="majorBidi" w:cstheme="majorBidi"/>
          <w:sz w:val="20"/>
          <w:szCs w:val="22"/>
          <w:lang w:bidi="fa-IR"/>
        </w:rPr>
        <w:t> (2026). </w:t>
      </w:r>
      <w:r w:rsidRPr="00FB51C2">
        <w:rPr>
          <w:rFonts w:asciiTheme="majorBidi" w:hAnsiTheme="majorBidi" w:cstheme="majorBidi"/>
          <w:b/>
          <w:bCs/>
          <w:sz w:val="20"/>
          <w:szCs w:val="22"/>
          <w:lang w:bidi="fa-IR"/>
        </w:rPr>
        <w:t>Comparison of copper processing methods with focus on environmental aspects and economic justification (worldwide and in Iran)</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The Application of Chemistry in Environment</w:t>
      </w:r>
      <w:r w:rsidRPr="00FB51C2">
        <w:rPr>
          <w:rFonts w:asciiTheme="majorBidi" w:hAnsiTheme="majorBidi" w:cstheme="majorBidi"/>
          <w:sz w:val="20"/>
          <w:szCs w:val="22"/>
          <w:lang w:bidi="fa-IR"/>
        </w:rPr>
        <w:t>, *16*(64), 47–61. </w:t>
      </w:r>
      <w:hyperlink r:id="rId26" w:tgtFrame="_blank" w:history="1">
        <w:r w:rsidRPr="00FB51C2">
          <w:rPr>
            <w:rStyle w:val="Hyperlink"/>
            <w:rFonts w:asciiTheme="majorBidi" w:hAnsiTheme="majorBidi" w:cstheme="majorBidi"/>
            <w:sz w:val="20"/>
            <w:szCs w:val="22"/>
            <w:lang w:bidi="fa-IR"/>
          </w:rPr>
          <w:t>https://doi.org/10.82313/ACE.2026.1230361</w:t>
        </w:r>
      </w:hyperlink>
    </w:p>
    <w:p w14:paraId="4550ACFD"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Jianchun, Y.</w:t>
      </w:r>
      <w:r w:rsidRPr="00FB51C2">
        <w:rPr>
          <w:rFonts w:asciiTheme="majorBidi" w:hAnsiTheme="majorBidi" w:cstheme="majorBidi"/>
          <w:sz w:val="20"/>
          <w:szCs w:val="22"/>
          <w:lang w:bidi="fa-IR"/>
        </w:rPr>
        <w:t> (2024). </w:t>
      </w:r>
      <w:r w:rsidRPr="00FB51C2">
        <w:rPr>
          <w:rFonts w:asciiTheme="majorBidi" w:hAnsiTheme="majorBidi" w:cstheme="majorBidi"/>
          <w:b/>
          <w:bCs/>
          <w:sz w:val="20"/>
          <w:szCs w:val="22"/>
          <w:lang w:bidi="fa-IR"/>
        </w:rPr>
        <w:t>Effects of green mining practices on corporate sustainable development: Role of green innovation, green organizational commitment, and corporate social responsibility</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Frontiers in Environmental Science</w:t>
      </w:r>
      <w:r w:rsidRPr="00FB51C2">
        <w:rPr>
          <w:rFonts w:asciiTheme="majorBidi" w:hAnsiTheme="majorBidi" w:cstheme="majorBidi"/>
          <w:sz w:val="20"/>
          <w:szCs w:val="22"/>
          <w:lang w:bidi="fa-IR"/>
        </w:rPr>
        <w:t>, *12*, 1476075. </w:t>
      </w:r>
      <w:hyperlink r:id="rId27" w:tgtFrame="_blank" w:history="1">
        <w:r w:rsidRPr="00FB51C2">
          <w:rPr>
            <w:rStyle w:val="Hyperlink"/>
            <w:rFonts w:asciiTheme="majorBidi" w:hAnsiTheme="majorBidi" w:cstheme="majorBidi"/>
            <w:sz w:val="20"/>
            <w:szCs w:val="22"/>
            <w:lang w:bidi="fa-IR"/>
          </w:rPr>
          <w:t>https://doi.org/10.3389/fenvs.2024.1476075</w:t>
        </w:r>
      </w:hyperlink>
    </w:p>
    <w:p w14:paraId="43094153"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Karimi Firozjaei, M., Sedighi, A., &amp; Kiavarz, M.</w:t>
      </w:r>
      <w:r w:rsidRPr="00FB51C2">
        <w:rPr>
          <w:rFonts w:asciiTheme="majorBidi" w:hAnsiTheme="majorBidi" w:cstheme="majorBidi"/>
          <w:sz w:val="20"/>
          <w:szCs w:val="22"/>
          <w:lang w:bidi="fa-IR"/>
        </w:rPr>
        <w:t> (2019). </w:t>
      </w:r>
      <w:r w:rsidRPr="00FB51C2">
        <w:rPr>
          <w:rFonts w:asciiTheme="majorBidi" w:hAnsiTheme="majorBidi" w:cstheme="majorBidi"/>
          <w:b/>
          <w:bCs/>
          <w:sz w:val="20"/>
          <w:szCs w:val="22"/>
          <w:lang w:bidi="fa-IR"/>
        </w:rPr>
        <w:t>Investigating the trend of surface biophysical changes due to the Sungun copper mine activities by integrating reflective and thermal remote sensing capabilities</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Physical Geography Research</w:t>
      </w:r>
      <w:r w:rsidRPr="00FB51C2">
        <w:rPr>
          <w:rFonts w:asciiTheme="majorBidi" w:hAnsiTheme="majorBidi" w:cstheme="majorBidi"/>
          <w:sz w:val="20"/>
          <w:szCs w:val="22"/>
          <w:lang w:bidi="fa-IR"/>
        </w:rPr>
        <w:t>, *51*(1), 51–71. </w:t>
      </w:r>
      <w:hyperlink r:id="rId28" w:tgtFrame="_blank" w:history="1">
        <w:r w:rsidRPr="00FB51C2">
          <w:rPr>
            <w:rStyle w:val="Hyperlink"/>
            <w:rFonts w:asciiTheme="majorBidi" w:hAnsiTheme="majorBidi" w:cstheme="majorBidi"/>
            <w:sz w:val="20"/>
            <w:szCs w:val="22"/>
            <w:lang w:bidi="fa-IR"/>
          </w:rPr>
          <w:t>https://doi.org/10.22059/jphgr.2019.259408.1007229</w:t>
        </w:r>
      </w:hyperlink>
    </w:p>
    <w:p w14:paraId="551BD7B4"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Lottermoser, B. G.</w:t>
      </w:r>
      <w:r w:rsidRPr="00FB51C2">
        <w:rPr>
          <w:rFonts w:asciiTheme="majorBidi" w:hAnsiTheme="majorBidi" w:cstheme="majorBidi"/>
          <w:sz w:val="20"/>
          <w:szCs w:val="22"/>
          <w:lang w:bidi="fa-IR"/>
        </w:rPr>
        <w:t> (2010). </w:t>
      </w:r>
      <w:proofErr w:type="gramStart"/>
      <w:r w:rsidRPr="00FB51C2">
        <w:rPr>
          <w:rFonts w:asciiTheme="majorBidi" w:hAnsiTheme="majorBidi" w:cstheme="majorBidi"/>
          <w:b/>
          <w:bCs/>
          <w:sz w:val="20"/>
          <w:szCs w:val="22"/>
          <w:lang w:bidi="fa-IR"/>
        </w:rPr>
        <w:t>Mine</w:t>
      </w:r>
      <w:proofErr w:type="gramEnd"/>
      <w:r w:rsidRPr="00FB51C2">
        <w:rPr>
          <w:rFonts w:asciiTheme="majorBidi" w:hAnsiTheme="majorBidi" w:cstheme="majorBidi"/>
          <w:b/>
          <w:bCs/>
          <w:sz w:val="20"/>
          <w:szCs w:val="22"/>
          <w:lang w:bidi="fa-IR"/>
        </w:rPr>
        <w:t xml:space="preserve"> water</w:t>
      </w:r>
      <w:r w:rsidRPr="00FB51C2">
        <w:rPr>
          <w:rFonts w:asciiTheme="majorBidi" w:hAnsiTheme="majorBidi" w:cstheme="majorBidi"/>
          <w:sz w:val="20"/>
          <w:szCs w:val="22"/>
          <w:lang w:bidi="fa-IR"/>
        </w:rPr>
        <w:t>. In B. G. Lottermoser (Ed.), </w:t>
      </w:r>
      <w:proofErr w:type="gramStart"/>
      <w:r w:rsidRPr="00FB51C2">
        <w:rPr>
          <w:rFonts w:asciiTheme="majorBidi" w:hAnsiTheme="majorBidi" w:cstheme="majorBidi"/>
          <w:i/>
          <w:iCs/>
          <w:sz w:val="20"/>
          <w:szCs w:val="22"/>
          <w:lang w:bidi="fa-IR"/>
        </w:rPr>
        <w:t>Mine</w:t>
      </w:r>
      <w:proofErr w:type="gramEnd"/>
      <w:r w:rsidRPr="00FB51C2">
        <w:rPr>
          <w:rFonts w:asciiTheme="majorBidi" w:hAnsiTheme="majorBidi" w:cstheme="majorBidi"/>
          <w:i/>
          <w:iCs/>
          <w:sz w:val="20"/>
          <w:szCs w:val="22"/>
          <w:lang w:bidi="fa-IR"/>
        </w:rPr>
        <w:t xml:space="preserve"> wastes: Characterization, treatment and environmental impacts</w:t>
      </w:r>
      <w:r w:rsidRPr="00FB51C2">
        <w:rPr>
          <w:rFonts w:asciiTheme="majorBidi" w:hAnsiTheme="majorBidi" w:cstheme="majorBidi"/>
          <w:sz w:val="20"/>
          <w:szCs w:val="22"/>
          <w:lang w:bidi="fa-IR"/>
        </w:rPr>
        <w:t> (pp. 119–203). Springer. Berlin, Heidelberg.</w:t>
      </w:r>
    </w:p>
    <w:p w14:paraId="282F0A54"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Malczewski, J.</w:t>
      </w:r>
      <w:r w:rsidRPr="00FB51C2">
        <w:rPr>
          <w:rFonts w:asciiTheme="majorBidi" w:hAnsiTheme="majorBidi" w:cstheme="majorBidi"/>
          <w:sz w:val="20"/>
          <w:szCs w:val="22"/>
          <w:lang w:bidi="fa-IR"/>
        </w:rPr>
        <w:t> (2006). </w:t>
      </w:r>
      <w:r w:rsidRPr="00FB51C2">
        <w:rPr>
          <w:rFonts w:asciiTheme="majorBidi" w:hAnsiTheme="majorBidi" w:cstheme="majorBidi"/>
          <w:b/>
          <w:bCs/>
          <w:sz w:val="20"/>
          <w:szCs w:val="22"/>
          <w:lang w:bidi="fa-IR"/>
        </w:rPr>
        <w:t>GIS-based multicriteria decision analysis: A survey of the literature</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International Journal of Geographical Information Science</w:t>
      </w:r>
      <w:r w:rsidRPr="00FB51C2">
        <w:rPr>
          <w:rFonts w:asciiTheme="majorBidi" w:hAnsiTheme="majorBidi" w:cstheme="majorBidi"/>
          <w:sz w:val="20"/>
          <w:szCs w:val="22"/>
          <w:lang w:bidi="fa-IR"/>
        </w:rPr>
        <w:t>, *20*(7), 703–726. </w:t>
      </w:r>
      <w:hyperlink r:id="rId29" w:tgtFrame="_blank" w:history="1">
        <w:r w:rsidRPr="00FB51C2">
          <w:rPr>
            <w:rStyle w:val="Hyperlink"/>
            <w:rFonts w:asciiTheme="majorBidi" w:hAnsiTheme="majorBidi" w:cstheme="majorBidi"/>
            <w:sz w:val="20"/>
            <w:szCs w:val="22"/>
            <w:lang w:bidi="fa-IR"/>
          </w:rPr>
          <w:t>https://doi.org/10.1080/13658810600661508</w:t>
        </w:r>
      </w:hyperlink>
    </w:p>
    <w:p w14:paraId="2FAC0E9C"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Malczewski, J., &amp; Rinner, C.</w:t>
      </w:r>
      <w:r w:rsidRPr="00FB51C2">
        <w:rPr>
          <w:rFonts w:asciiTheme="majorBidi" w:hAnsiTheme="majorBidi" w:cstheme="majorBidi"/>
          <w:sz w:val="20"/>
          <w:szCs w:val="22"/>
          <w:lang w:bidi="fa-IR"/>
        </w:rPr>
        <w:t> (2015). </w:t>
      </w:r>
      <w:r w:rsidRPr="00FB51C2">
        <w:rPr>
          <w:rFonts w:asciiTheme="majorBidi" w:hAnsiTheme="majorBidi" w:cstheme="majorBidi"/>
          <w:b/>
          <w:bCs/>
          <w:sz w:val="20"/>
          <w:szCs w:val="22"/>
          <w:lang w:bidi="fa-IR"/>
        </w:rPr>
        <w:t>Multicriteria decision analysis in geographic information science</w:t>
      </w:r>
      <w:r w:rsidRPr="00FB51C2">
        <w:rPr>
          <w:rFonts w:asciiTheme="majorBidi" w:hAnsiTheme="majorBidi" w:cstheme="majorBidi"/>
          <w:sz w:val="20"/>
          <w:szCs w:val="22"/>
          <w:lang w:bidi="fa-IR"/>
        </w:rPr>
        <w:t>. Springer. New York, NY.</w:t>
      </w:r>
    </w:p>
    <w:p w14:paraId="76B94532"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Memarbashi, E., Azadi, H., Barati, A. A., Mohajeri, F., Van Passel, S., &amp; Witlox, F.</w:t>
      </w:r>
      <w:r w:rsidRPr="00FB51C2">
        <w:rPr>
          <w:rFonts w:asciiTheme="majorBidi" w:hAnsiTheme="majorBidi" w:cstheme="majorBidi"/>
          <w:sz w:val="20"/>
          <w:szCs w:val="22"/>
          <w:lang w:bidi="fa-IR"/>
        </w:rPr>
        <w:t> (2017). </w:t>
      </w:r>
      <w:r w:rsidRPr="00FB51C2">
        <w:rPr>
          <w:rFonts w:asciiTheme="majorBidi" w:hAnsiTheme="majorBidi" w:cstheme="majorBidi"/>
          <w:b/>
          <w:bCs/>
          <w:sz w:val="20"/>
          <w:szCs w:val="22"/>
          <w:lang w:bidi="fa-IR"/>
        </w:rPr>
        <w:t>Land-use suitability in Northeast Iran: Application of AHP-GIS hybrid model</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ISPRS International Journal of Geo-Information</w:t>
      </w:r>
      <w:r w:rsidRPr="00FB51C2">
        <w:rPr>
          <w:rFonts w:asciiTheme="majorBidi" w:hAnsiTheme="majorBidi" w:cstheme="majorBidi"/>
          <w:sz w:val="20"/>
          <w:szCs w:val="22"/>
          <w:lang w:bidi="fa-IR"/>
        </w:rPr>
        <w:t>, *6*(12), 396. </w:t>
      </w:r>
      <w:hyperlink r:id="rId30" w:tgtFrame="_blank" w:history="1">
        <w:r w:rsidRPr="00FB51C2">
          <w:rPr>
            <w:rStyle w:val="Hyperlink"/>
            <w:rFonts w:asciiTheme="majorBidi" w:hAnsiTheme="majorBidi" w:cstheme="majorBidi"/>
            <w:sz w:val="20"/>
            <w:szCs w:val="22"/>
            <w:lang w:bidi="fa-IR"/>
          </w:rPr>
          <w:t>https://doi.org/10.3390/ijgi6120396</w:t>
        </w:r>
      </w:hyperlink>
    </w:p>
    <w:p w14:paraId="3CA076CA"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Moreau, K., Laamanen, C., Bose, R., Shang, H., &amp; Scott, J. A.</w:t>
      </w:r>
      <w:r w:rsidRPr="00FB51C2">
        <w:rPr>
          <w:rFonts w:asciiTheme="majorBidi" w:hAnsiTheme="majorBidi" w:cstheme="majorBidi"/>
          <w:sz w:val="20"/>
          <w:szCs w:val="22"/>
          <w:lang w:bidi="fa-IR"/>
        </w:rPr>
        <w:t> (2021). </w:t>
      </w:r>
      <w:r w:rsidRPr="00FB51C2">
        <w:rPr>
          <w:rFonts w:asciiTheme="majorBidi" w:hAnsiTheme="majorBidi" w:cstheme="majorBidi"/>
          <w:b/>
          <w:bCs/>
          <w:sz w:val="20"/>
          <w:szCs w:val="22"/>
          <w:lang w:bidi="fa-IR"/>
        </w:rPr>
        <w:t>Environmental impact improvements due to introducing automation into underground copper mines</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International Journal of Mining Science and Technology</w:t>
      </w:r>
      <w:r w:rsidRPr="00FB51C2">
        <w:rPr>
          <w:rFonts w:asciiTheme="majorBidi" w:hAnsiTheme="majorBidi" w:cstheme="majorBidi"/>
          <w:sz w:val="20"/>
          <w:szCs w:val="22"/>
          <w:lang w:bidi="fa-IR"/>
        </w:rPr>
        <w:t>, *31*(6), 1159–1167. </w:t>
      </w:r>
      <w:hyperlink r:id="rId31" w:tgtFrame="_blank" w:history="1">
        <w:r w:rsidRPr="00FB51C2">
          <w:rPr>
            <w:rStyle w:val="Hyperlink"/>
            <w:rFonts w:asciiTheme="majorBidi" w:hAnsiTheme="majorBidi" w:cstheme="majorBidi"/>
            <w:sz w:val="20"/>
            <w:szCs w:val="22"/>
            <w:lang w:bidi="fa-IR"/>
          </w:rPr>
          <w:t>https://doi.org/10.1016/j.ijmst.2021.11.009</w:t>
        </w:r>
      </w:hyperlink>
    </w:p>
    <w:p w14:paraId="72FA0550"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Mosaferi, M.</w:t>
      </w:r>
      <w:r w:rsidRPr="00FB51C2">
        <w:rPr>
          <w:rFonts w:asciiTheme="majorBidi" w:hAnsiTheme="majorBidi" w:cstheme="majorBidi"/>
          <w:sz w:val="20"/>
          <w:szCs w:val="22"/>
          <w:lang w:bidi="fa-IR"/>
        </w:rPr>
        <w:t> (2022). </w:t>
      </w:r>
      <w:r w:rsidRPr="00FB51C2">
        <w:rPr>
          <w:rFonts w:asciiTheme="majorBidi" w:hAnsiTheme="majorBidi" w:cstheme="majorBidi"/>
          <w:b/>
          <w:bCs/>
          <w:sz w:val="20"/>
          <w:szCs w:val="22"/>
          <w:lang w:bidi="fa-IR"/>
        </w:rPr>
        <w:t>Environmental effects and consequences assessment of mining projects, with emphasis on copper and gold mines in East Azerbaijan Province</w:t>
      </w:r>
      <w:r w:rsidRPr="00FB51C2">
        <w:rPr>
          <w:rFonts w:asciiTheme="majorBidi" w:hAnsiTheme="majorBidi" w:cstheme="majorBidi"/>
          <w:sz w:val="20"/>
          <w:szCs w:val="22"/>
          <w:lang w:bidi="fa-IR"/>
        </w:rPr>
        <w:t> (Research Project No. 286963). Health and Environment Research Center, Tabriz University of Medical Sciences. </w:t>
      </w:r>
      <w:r w:rsidRPr="00FB51C2">
        <w:rPr>
          <w:rFonts w:asciiTheme="majorBidi" w:hAnsiTheme="majorBidi" w:cstheme="majorBidi"/>
          <w:b/>
          <w:bCs/>
          <w:sz w:val="20"/>
          <w:szCs w:val="22"/>
          <w:lang w:bidi="fa-IR"/>
        </w:rPr>
        <w:t>[In Persian]</w:t>
      </w:r>
    </w:p>
    <w:p w14:paraId="7CAAB769"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Nabi Bidhendi, G. R., Karbassi, A. R., Nasrabadi, T., &amp; Hoveidi, H.</w:t>
      </w:r>
      <w:r w:rsidRPr="00FB51C2">
        <w:rPr>
          <w:rFonts w:asciiTheme="majorBidi" w:hAnsiTheme="majorBidi" w:cstheme="majorBidi"/>
          <w:sz w:val="20"/>
          <w:szCs w:val="22"/>
          <w:lang w:bidi="fa-IR"/>
        </w:rPr>
        <w:t> (2007). </w:t>
      </w:r>
      <w:r w:rsidRPr="00FB51C2">
        <w:rPr>
          <w:rFonts w:asciiTheme="majorBidi" w:hAnsiTheme="majorBidi" w:cstheme="majorBidi"/>
          <w:b/>
          <w:bCs/>
          <w:sz w:val="20"/>
          <w:szCs w:val="22"/>
          <w:lang w:bidi="fa-IR"/>
        </w:rPr>
        <w:t>Influence of copper mine on surface water quality</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International Journal of Environmental Science &amp; Technology</w:t>
      </w:r>
      <w:r w:rsidRPr="00FB51C2">
        <w:rPr>
          <w:rFonts w:asciiTheme="majorBidi" w:hAnsiTheme="majorBidi" w:cstheme="majorBidi"/>
          <w:sz w:val="20"/>
          <w:szCs w:val="22"/>
          <w:lang w:bidi="fa-IR"/>
        </w:rPr>
        <w:t>, *4*(1), 85–91. </w:t>
      </w:r>
      <w:hyperlink r:id="rId32" w:tgtFrame="_blank" w:history="1">
        <w:r w:rsidRPr="00FB51C2">
          <w:rPr>
            <w:rStyle w:val="Hyperlink"/>
            <w:rFonts w:asciiTheme="majorBidi" w:hAnsiTheme="majorBidi" w:cstheme="majorBidi"/>
            <w:sz w:val="20"/>
            <w:szCs w:val="22"/>
            <w:lang w:bidi="fa-IR"/>
          </w:rPr>
          <w:t>https://doi.org/10.1007/BF03325965</w:t>
        </w:r>
      </w:hyperlink>
    </w:p>
    <w:p w14:paraId="3C4B1FF8"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Northey, S., Haque, N., &amp; Mudd, G. M.</w:t>
      </w:r>
      <w:r w:rsidRPr="00FB51C2">
        <w:rPr>
          <w:rFonts w:asciiTheme="majorBidi" w:hAnsiTheme="majorBidi" w:cstheme="majorBidi"/>
          <w:sz w:val="20"/>
          <w:szCs w:val="22"/>
          <w:lang w:bidi="fa-IR"/>
        </w:rPr>
        <w:t> (2013). </w:t>
      </w:r>
      <w:r w:rsidRPr="00FB51C2">
        <w:rPr>
          <w:rFonts w:asciiTheme="majorBidi" w:hAnsiTheme="majorBidi" w:cstheme="majorBidi"/>
          <w:b/>
          <w:bCs/>
          <w:sz w:val="20"/>
          <w:szCs w:val="22"/>
          <w:lang w:bidi="fa-IR"/>
        </w:rPr>
        <w:t>Using sustainability reporting to assess the environmental footprint of copper mining</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Journal of Cleaner Production</w:t>
      </w:r>
      <w:r w:rsidRPr="00FB51C2">
        <w:rPr>
          <w:rFonts w:asciiTheme="majorBidi" w:hAnsiTheme="majorBidi" w:cstheme="majorBidi"/>
          <w:sz w:val="20"/>
          <w:szCs w:val="22"/>
          <w:lang w:bidi="fa-IR"/>
        </w:rPr>
        <w:t>, *40*, 118–128. </w:t>
      </w:r>
      <w:hyperlink r:id="rId33" w:tgtFrame="_blank" w:history="1">
        <w:r w:rsidRPr="00FB51C2">
          <w:rPr>
            <w:rStyle w:val="Hyperlink"/>
            <w:rFonts w:asciiTheme="majorBidi" w:hAnsiTheme="majorBidi" w:cstheme="majorBidi"/>
            <w:sz w:val="20"/>
            <w:szCs w:val="22"/>
            <w:lang w:bidi="fa-IR"/>
          </w:rPr>
          <w:t>https://doi.org/10.1016/j.jclepro.2012.09.027</w:t>
        </w:r>
      </w:hyperlink>
    </w:p>
    <w:p w14:paraId="29164B6E"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Partidário, M. R.</w:t>
      </w:r>
      <w:r w:rsidRPr="00FB51C2">
        <w:rPr>
          <w:rFonts w:asciiTheme="majorBidi" w:hAnsiTheme="majorBidi" w:cstheme="majorBidi"/>
          <w:sz w:val="20"/>
          <w:szCs w:val="22"/>
          <w:lang w:bidi="fa-IR"/>
        </w:rPr>
        <w:t> (2000). </w:t>
      </w:r>
      <w:r w:rsidRPr="00FB51C2">
        <w:rPr>
          <w:rFonts w:asciiTheme="majorBidi" w:hAnsiTheme="majorBidi" w:cstheme="majorBidi"/>
          <w:b/>
          <w:bCs/>
          <w:sz w:val="20"/>
          <w:szCs w:val="22"/>
          <w:lang w:bidi="fa-IR"/>
        </w:rPr>
        <w:t>Elements of an SEA framework—Improving the added-value of SEA</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Environmental Impact Assessment Review</w:t>
      </w:r>
      <w:r w:rsidRPr="00FB51C2">
        <w:rPr>
          <w:rFonts w:asciiTheme="majorBidi" w:hAnsiTheme="majorBidi" w:cstheme="majorBidi"/>
          <w:sz w:val="20"/>
          <w:szCs w:val="22"/>
          <w:lang w:bidi="fa-IR"/>
        </w:rPr>
        <w:t>, *20*(6), 647–663. </w:t>
      </w:r>
      <w:hyperlink r:id="rId34" w:tgtFrame="_blank" w:history="1">
        <w:r w:rsidRPr="00FB51C2">
          <w:rPr>
            <w:rStyle w:val="Hyperlink"/>
            <w:rFonts w:asciiTheme="majorBidi" w:hAnsiTheme="majorBidi" w:cstheme="majorBidi"/>
            <w:sz w:val="20"/>
            <w:szCs w:val="22"/>
            <w:lang w:bidi="fa-IR"/>
          </w:rPr>
          <w:t>https://doi.org/10.1016/S0195-9255(00)00069-X</w:t>
        </w:r>
      </w:hyperlink>
    </w:p>
    <w:p w14:paraId="575888BC"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Pirizadeh, B., Bohloli, N., Nazdaeirani, M., &amp; Mazaheri, N.</w:t>
      </w:r>
      <w:r w:rsidRPr="00FB51C2">
        <w:rPr>
          <w:rFonts w:asciiTheme="majorBidi" w:hAnsiTheme="majorBidi" w:cstheme="majorBidi"/>
          <w:sz w:val="20"/>
          <w:szCs w:val="22"/>
          <w:lang w:bidi="fa-IR"/>
        </w:rPr>
        <w:t> (2025). </w:t>
      </w:r>
      <w:r w:rsidRPr="00FB51C2">
        <w:rPr>
          <w:rFonts w:asciiTheme="majorBidi" w:hAnsiTheme="majorBidi" w:cstheme="majorBidi"/>
          <w:b/>
          <w:bCs/>
          <w:sz w:val="20"/>
          <w:szCs w:val="22"/>
          <w:lang w:bidi="fa-IR"/>
        </w:rPr>
        <w:t>Designing an HSE maturity assessment model at the Azerbaijan Copper Complex (Sungun)</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Geographical Space</w:t>
      </w:r>
      <w:r w:rsidRPr="00FB51C2">
        <w:rPr>
          <w:rFonts w:asciiTheme="majorBidi" w:hAnsiTheme="majorBidi" w:cstheme="majorBidi"/>
          <w:sz w:val="20"/>
          <w:szCs w:val="22"/>
          <w:lang w:bidi="fa-IR"/>
        </w:rPr>
        <w:t>, *25*(90), 22–41. </w:t>
      </w:r>
      <w:r w:rsidRPr="00FB51C2">
        <w:rPr>
          <w:rFonts w:asciiTheme="majorBidi" w:hAnsiTheme="majorBidi" w:cstheme="majorBidi"/>
          <w:b/>
          <w:bCs/>
          <w:sz w:val="20"/>
          <w:szCs w:val="22"/>
          <w:lang w:bidi="fa-IR"/>
        </w:rPr>
        <w:t>[In Persian]</w:t>
      </w:r>
    </w:p>
    <w:p w14:paraId="7A8282F6"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lastRenderedPageBreak/>
        <w:t>Pouresmaieli, M., Ataei, M., Nouri Qarahasanlou, A., &amp; Barabadi, A.</w:t>
      </w:r>
      <w:r w:rsidRPr="00FB51C2">
        <w:rPr>
          <w:rFonts w:asciiTheme="majorBidi" w:hAnsiTheme="majorBidi" w:cstheme="majorBidi"/>
          <w:sz w:val="20"/>
          <w:szCs w:val="22"/>
          <w:lang w:bidi="fa-IR"/>
        </w:rPr>
        <w:t> (2024). </w:t>
      </w:r>
      <w:r w:rsidRPr="00FB51C2">
        <w:rPr>
          <w:rFonts w:asciiTheme="majorBidi" w:hAnsiTheme="majorBidi" w:cstheme="majorBidi"/>
          <w:b/>
          <w:bCs/>
          <w:sz w:val="20"/>
          <w:szCs w:val="22"/>
          <w:lang w:bidi="fa-IR"/>
        </w:rPr>
        <w:t>Multi-criteria decision-making methods for sustainable decision-making in the mining industry: A comprehensive study</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Journal of Mining and Environment</w:t>
      </w:r>
      <w:r w:rsidRPr="00FB51C2">
        <w:rPr>
          <w:rFonts w:asciiTheme="majorBidi" w:hAnsiTheme="majorBidi" w:cstheme="majorBidi"/>
          <w:sz w:val="20"/>
          <w:szCs w:val="22"/>
          <w:lang w:bidi="fa-IR"/>
        </w:rPr>
        <w:t>, *15*(2), 683–706. </w:t>
      </w:r>
      <w:hyperlink r:id="rId35" w:tgtFrame="_blank" w:history="1">
        <w:r w:rsidRPr="00FB51C2">
          <w:rPr>
            <w:rStyle w:val="Hyperlink"/>
            <w:rFonts w:asciiTheme="majorBidi" w:hAnsiTheme="majorBidi" w:cstheme="majorBidi"/>
            <w:sz w:val="20"/>
            <w:szCs w:val="22"/>
            <w:lang w:bidi="fa-IR"/>
          </w:rPr>
          <w:t>https://doi.org/10.22044/jme.2024.13678.2582</w:t>
        </w:r>
      </w:hyperlink>
    </w:p>
    <w:p w14:paraId="7BE7226E"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Rezaee, P., Dadras, M., Ajdani, M., &amp; Paslar, S.</w:t>
      </w:r>
      <w:r w:rsidRPr="00FB51C2">
        <w:rPr>
          <w:rFonts w:asciiTheme="majorBidi" w:hAnsiTheme="majorBidi" w:cstheme="majorBidi"/>
          <w:sz w:val="20"/>
          <w:szCs w:val="22"/>
          <w:lang w:bidi="fa-IR"/>
        </w:rPr>
        <w:t> (2026). </w:t>
      </w:r>
      <w:r w:rsidRPr="00FB51C2">
        <w:rPr>
          <w:rFonts w:asciiTheme="majorBidi" w:hAnsiTheme="majorBidi" w:cstheme="majorBidi"/>
          <w:b/>
          <w:bCs/>
          <w:sz w:val="20"/>
          <w:szCs w:val="22"/>
          <w:lang w:bidi="fa-IR"/>
        </w:rPr>
        <w:t>Spatial analysis and prioritization of suitable zones for high-rise development in Bandar Abbas using GIS and Monte Carlo simulation</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Geographical Space</w:t>
      </w:r>
      <w:r w:rsidRPr="00FB51C2">
        <w:rPr>
          <w:rFonts w:asciiTheme="majorBidi" w:hAnsiTheme="majorBidi" w:cstheme="majorBidi"/>
          <w:sz w:val="20"/>
          <w:szCs w:val="22"/>
          <w:lang w:bidi="fa-IR"/>
        </w:rPr>
        <w:t>, *26*(93), 218–242. </w:t>
      </w:r>
      <w:r w:rsidRPr="00FB51C2">
        <w:rPr>
          <w:rFonts w:asciiTheme="majorBidi" w:hAnsiTheme="majorBidi" w:cstheme="majorBidi"/>
          <w:b/>
          <w:bCs/>
          <w:sz w:val="20"/>
          <w:szCs w:val="22"/>
          <w:lang w:bidi="fa-IR"/>
        </w:rPr>
        <w:t>[In Persian]</w:t>
      </w:r>
    </w:p>
    <w:p w14:paraId="6D20DAF5"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Rouhani, A., Hejcman, M., &amp; Trögl, J.</w:t>
      </w:r>
      <w:r w:rsidRPr="00FB51C2">
        <w:rPr>
          <w:rFonts w:asciiTheme="majorBidi" w:hAnsiTheme="majorBidi" w:cstheme="majorBidi"/>
          <w:sz w:val="20"/>
          <w:szCs w:val="22"/>
          <w:lang w:bidi="fa-IR"/>
        </w:rPr>
        <w:t> (2025). </w:t>
      </w:r>
      <w:r w:rsidRPr="00FB51C2">
        <w:rPr>
          <w:rFonts w:asciiTheme="majorBidi" w:hAnsiTheme="majorBidi" w:cstheme="majorBidi"/>
          <w:b/>
          <w:bCs/>
          <w:sz w:val="20"/>
          <w:szCs w:val="22"/>
          <w:lang w:bidi="fa-IR"/>
        </w:rPr>
        <w:t>A review of soil pollution by potentially toxic elements and remediation strategies in copper mining areas in Iran</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International Journal of Environmental Science and Technology</w:t>
      </w:r>
      <w:r w:rsidRPr="00FB51C2">
        <w:rPr>
          <w:rFonts w:asciiTheme="majorBidi" w:hAnsiTheme="majorBidi" w:cstheme="majorBidi"/>
          <w:sz w:val="20"/>
          <w:szCs w:val="22"/>
          <w:lang w:bidi="fa-IR"/>
        </w:rPr>
        <w:t>, *22*(10), 9793–9806. </w:t>
      </w:r>
      <w:hyperlink r:id="rId36" w:tgtFrame="_blank" w:history="1">
        <w:r w:rsidRPr="00FB51C2">
          <w:rPr>
            <w:rStyle w:val="Hyperlink"/>
            <w:rFonts w:asciiTheme="majorBidi" w:hAnsiTheme="majorBidi" w:cstheme="majorBidi"/>
            <w:sz w:val="20"/>
            <w:szCs w:val="22"/>
            <w:lang w:bidi="fa-IR"/>
          </w:rPr>
          <w:t>https://doi.org/10.1007/s13762-024-05800-8</w:t>
        </w:r>
      </w:hyperlink>
    </w:p>
    <w:p w14:paraId="207CD2BB"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Saaty, T. L.</w:t>
      </w:r>
      <w:r w:rsidRPr="00FB51C2">
        <w:rPr>
          <w:rFonts w:asciiTheme="majorBidi" w:hAnsiTheme="majorBidi" w:cstheme="majorBidi"/>
          <w:sz w:val="20"/>
          <w:szCs w:val="22"/>
          <w:lang w:bidi="fa-IR"/>
        </w:rPr>
        <w:t> (1980). </w:t>
      </w:r>
      <w:r w:rsidRPr="00FB51C2">
        <w:rPr>
          <w:rFonts w:asciiTheme="majorBidi" w:hAnsiTheme="majorBidi" w:cstheme="majorBidi"/>
          <w:b/>
          <w:bCs/>
          <w:sz w:val="20"/>
          <w:szCs w:val="22"/>
          <w:lang w:bidi="fa-IR"/>
        </w:rPr>
        <w:t>The analytic hierarchy process: Planning, priority setting, resource allocation</w:t>
      </w:r>
      <w:r w:rsidRPr="00FB51C2">
        <w:rPr>
          <w:rFonts w:asciiTheme="majorBidi" w:hAnsiTheme="majorBidi" w:cstheme="majorBidi"/>
          <w:sz w:val="20"/>
          <w:szCs w:val="22"/>
          <w:lang w:bidi="fa-IR"/>
        </w:rPr>
        <w:t>. McGraw-Hill International Book Company. New York, NY.</w:t>
      </w:r>
    </w:p>
    <w:p w14:paraId="6FAD0ECC"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Sadeghi, M., &amp; Noormohammadi, A. M.</w:t>
      </w:r>
      <w:r w:rsidRPr="00FB51C2">
        <w:rPr>
          <w:rFonts w:asciiTheme="majorBidi" w:hAnsiTheme="majorBidi" w:cstheme="majorBidi"/>
          <w:sz w:val="20"/>
          <w:szCs w:val="22"/>
          <w:lang w:bidi="fa-IR"/>
        </w:rPr>
        <w:t> (2025). </w:t>
      </w:r>
      <w:r w:rsidRPr="00FB51C2">
        <w:rPr>
          <w:rFonts w:asciiTheme="majorBidi" w:hAnsiTheme="majorBidi" w:cstheme="majorBidi"/>
          <w:b/>
          <w:bCs/>
          <w:sz w:val="20"/>
          <w:szCs w:val="22"/>
          <w:lang w:bidi="fa-IR"/>
        </w:rPr>
        <w:t>GIS-based multi-criteria analysis to identify potential groundwater recharge areas—A case study of Qamroud watershed</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Geographical Space</w:t>
      </w:r>
      <w:r w:rsidRPr="00FB51C2">
        <w:rPr>
          <w:rFonts w:asciiTheme="majorBidi" w:hAnsiTheme="majorBidi" w:cstheme="majorBidi"/>
          <w:sz w:val="20"/>
          <w:szCs w:val="22"/>
          <w:lang w:bidi="fa-IR"/>
        </w:rPr>
        <w:t>, *25*(90), 116–140. </w:t>
      </w:r>
      <w:r w:rsidRPr="00FB51C2">
        <w:rPr>
          <w:rFonts w:asciiTheme="majorBidi" w:hAnsiTheme="majorBidi" w:cstheme="majorBidi"/>
          <w:b/>
          <w:bCs/>
          <w:sz w:val="20"/>
          <w:szCs w:val="22"/>
          <w:lang w:bidi="fa-IR"/>
        </w:rPr>
        <w:t>[In Persian]</w:t>
      </w:r>
    </w:p>
    <w:p w14:paraId="5D1D9128"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Shahraki, H., Einollahipeer, F., Abyar, H., &amp; Erfani, M.</w:t>
      </w:r>
      <w:r w:rsidRPr="00FB51C2">
        <w:rPr>
          <w:rFonts w:asciiTheme="majorBidi" w:hAnsiTheme="majorBidi" w:cstheme="majorBidi"/>
          <w:sz w:val="20"/>
          <w:szCs w:val="22"/>
          <w:lang w:bidi="fa-IR"/>
        </w:rPr>
        <w:t> (2024). </w:t>
      </w:r>
      <w:r w:rsidRPr="00FB51C2">
        <w:rPr>
          <w:rFonts w:asciiTheme="majorBidi" w:hAnsiTheme="majorBidi" w:cstheme="majorBidi"/>
          <w:b/>
          <w:bCs/>
          <w:sz w:val="20"/>
          <w:szCs w:val="22"/>
          <w:lang w:bidi="fa-IR"/>
        </w:rPr>
        <w:t>Assessing the environmental impacts of copper cathode production based on life cycle assessment</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Integrated Environmental Assessment and Management</w:t>
      </w:r>
      <w:r w:rsidRPr="00FB51C2">
        <w:rPr>
          <w:rFonts w:asciiTheme="majorBidi" w:hAnsiTheme="majorBidi" w:cstheme="majorBidi"/>
          <w:sz w:val="20"/>
          <w:szCs w:val="22"/>
          <w:lang w:bidi="fa-IR"/>
        </w:rPr>
        <w:t>, *20*(4), 1180–1190. </w:t>
      </w:r>
      <w:hyperlink r:id="rId37" w:tgtFrame="_blank" w:history="1">
        <w:r w:rsidRPr="00FB51C2">
          <w:rPr>
            <w:rStyle w:val="Hyperlink"/>
            <w:rFonts w:asciiTheme="majorBidi" w:hAnsiTheme="majorBidi" w:cstheme="majorBidi"/>
            <w:sz w:val="20"/>
            <w:szCs w:val="22"/>
            <w:lang w:bidi="fa-IR"/>
          </w:rPr>
          <w:t>https://doi.org/10.1002/ieam.4857</w:t>
        </w:r>
      </w:hyperlink>
    </w:p>
    <w:p w14:paraId="52569ED8"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Store, R., &amp; Kangas, J.</w:t>
      </w:r>
      <w:r w:rsidRPr="00FB51C2">
        <w:rPr>
          <w:rFonts w:asciiTheme="majorBidi" w:hAnsiTheme="majorBidi" w:cstheme="majorBidi"/>
          <w:sz w:val="20"/>
          <w:szCs w:val="22"/>
          <w:lang w:bidi="fa-IR"/>
        </w:rPr>
        <w:t> (2001). </w:t>
      </w:r>
      <w:r w:rsidRPr="00FB51C2">
        <w:rPr>
          <w:rFonts w:asciiTheme="majorBidi" w:hAnsiTheme="majorBidi" w:cstheme="majorBidi"/>
          <w:b/>
          <w:bCs/>
          <w:sz w:val="20"/>
          <w:szCs w:val="22"/>
          <w:lang w:bidi="fa-IR"/>
        </w:rPr>
        <w:t>Integrating spatial multi-criteria evaluation and expert knowledge for GIS-based habitat suitability modelling</w:t>
      </w:r>
      <w:r w:rsidRPr="00FB51C2">
        <w:rPr>
          <w:rFonts w:asciiTheme="majorBidi" w:hAnsiTheme="majorBidi" w:cstheme="majorBidi"/>
          <w:sz w:val="20"/>
          <w:szCs w:val="22"/>
          <w:lang w:bidi="fa-IR"/>
        </w:rPr>
        <w:t>. </w:t>
      </w:r>
      <w:r w:rsidRPr="00FB51C2">
        <w:rPr>
          <w:rFonts w:asciiTheme="majorBidi" w:hAnsiTheme="majorBidi" w:cstheme="majorBidi"/>
          <w:i/>
          <w:iCs/>
          <w:sz w:val="20"/>
          <w:szCs w:val="22"/>
          <w:lang w:bidi="fa-IR"/>
        </w:rPr>
        <w:t>Landscape and Urban Planning</w:t>
      </w:r>
      <w:r w:rsidRPr="00FB51C2">
        <w:rPr>
          <w:rFonts w:asciiTheme="majorBidi" w:hAnsiTheme="majorBidi" w:cstheme="majorBidi"/>
          <w:sz w:val="20"/>
          <w:szCs w:val="22"/>
          <w:lang w:bidi="fa-IR"/>
        </w:rPr>
        <w:t>, *55*(2), 79–93. </w:t>
      </w:r>
      <w:hyperlink r:id="rId38" w:tgtFrame="_blank" w:history="1">
        <w:r w:rsidRPr="00FB51C2">
          <w:rPr>
            <w:rStyle w:val="Hyperlink"/>
            <w:rFonts w:asciiTheme="majorBidi" w:hAnsiTheme="majorBidi" w:cstheme="majorBidi"/>
            <w:sz w:val="20"/>
            <w:szCs w:val="22"/>
            <w:lang w:bidi="fa-IR"/>
          </w:rPr>
          <w:t>https://doi.org/10.1016/S0169-2046(01)00120-7</w:t>
        </w:r>
      </w:hyperlink>
    </w:p>
    <w:p w14:paraId="6018B336" w14:textId="77777777" w:rsidR="00FB51C2" w:rsidRPr="00FB51C2" w:rsidRDefault="00FB51C2" w:rsidP="00FB51C2">
      <w:pPr>
        <w:bidi w:val="0"/>
        <w:spacing w:line="360" w:lineRule="auto"/>
        <w:ind w:left="567" w:firstLine="567"/>
        <w:rPr>
          <w:rFonts w:asciiTheme="majorBidi" w:hAnsiTheme="majorBidi" w:cstheme="majorBidi"/>
          <w:sz w:val="20"/>
          <w:szCs w:val="22"/>
          <w:lang w:bidi="fa-IR"/>
        </w:rPr>
      </w:pPr>
      <w:r w:rsidRPr="00FB51C2">
        <w:rPr>
          <w:rFonts w:asciiTheme="majorBidi" w:hAnsiTheme="majorBidi" w:cstheme="majorBidi"/>
          <w:b/>
          <w:bCs/>
          <w:sz w:val="20"/>
          <w:szCs w:val="22"/>
          <w:lang w:bidi="fa-IR"/>
        </w:rPr>
        <w:t>U.S. Geological Survey.</w:t>
      </w:r>
      <w:r w:rsidRPr="00FB51C2">
        <w:rPr>
          <w:rFonts w:asciiTheme="majorBidi" w:hAnsiTheme="majorBidi" w:cstheme="majorBidi"/>
          <w:sz w:val="20"/>
          <w:szCs w:val="22"/>
          <w:lang w:bidi="fa-IR"/>
        </w:rPr>
        <w:t> (2025). </w:t>
      </w:r>
      <w:r w:rsidRPr="00FB51C2">
        <w:rPr>
          <w:rFonts w:asciiTheme="majorBidi" w:hAnsiTheme="majorBidi" w:cstheme="majorBidi"/>
          <w:b/>
          <w:bCs/>
          <w:sz w:val="20"/>
          <w:szCs w:val="22"/>
          <w:lang w:bidi="fa-IR"/>
        </w:rPr>
        <w:t>Copper statistics and information</w:t>
      </w:r>
      <w:r w:rsidRPr="00FB51C2">
        <w:rPr>
          <w:rFonts w:asciiTheme="majorBidi" w:hAnsiTheme="majorBidi" w:cstheme="majorBidi"/>
          <w:sz w:val="20"/>
          <w:szCs w:val="22"/>
          <w:lang w:bidi="fa-IR"/>
        </w:rPr>
        <w:t>. National Minerals Information Center. </w:t>
      </w:r>
      <w:hyperlink r:id="rId39" w:tgtFrame="_blank" w:history="1">
        <w:r w:rsidRPr="00FB51C2">
          <w:rPr>
            <w:rStyle w:val="Hyperlink"/>
            <w:rFonts w:asciiTheme="majorBidi" w:hAnsiTheme="majorBidi" w:cstheme="majorBidi"/>
            <w:sz w:val="20"/>
            <w:szCs w:val="22"/>
            <w:lang w:bidi="fa-IR"/>
          </w:rPr>
          <w:t>https://www.usgs.gov/centers/national-minerals-information-center/copper-statistics-and-information</w:t>
        </w:r>
      </w:hyperlink>
    </w:p>
    <w:p w14:paraId="2EA00A4A" w14:textId="77777777" w:rsidR="00FB51C2" w:rsidRPr="00FB51C2" w:rsidRDefault="00FB51C2" w:rsidP="00FB51C2">
      <w:pPr>
        <w:bidi w:val="0"/>
        <w:rPr>
          <w:rFonts w:asciiTheme="majorBidi" w:hAnsiTheme="majorBidi" w:cstheme="majorBidi"/>
          <w:sz w:val="20"/>
          <w:szCs w:val="22"/>
          <w:lang w:bidi="fa-IR"/>
        </w:rPr>
      </w:pPr>
    </w:p>
    <w:p w14:paraId="4CB79365" w14:textId="77777777" w:rsidR="00C216CE" w:rsidRDefault="00C216CE" w:rsidP="00FB51C2">
      <w:pPr>
        <w:pStyle w:val="EndNoteBibliography"/>
        <w:bidi w:val="0"/>
        <w:ind w:left="720" w:hanging="720"/>
        <w:rPr>
          <w:sz w:val="20"/>
          <w:szCs w:val="24"/>
        </w:rPr>
      </w:pPr>
    </w:p>
    <w:sectPr w:rsidR="00C216CE" w:rsidSect="008B1294">
      <w:footerReference w:type="default" r:id="rId40"/>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389AC" w14:textId="77777777" w:rsidR="00FC41EB" w:rsidRDefault="00FC41EB" w:rsidP="00CE10BB">
      <w:r>
        <w:separator/>
      </w:r>
    </w:p>
  </w:endnote>
  <w:endnote w:type="continuationSeparator" w:id="0">
    <w:p w14:paraId="1CBFC84B" w14:textId="77777777" w:rsidR="00FC41EB" w:rsidRDefault="00FC41EB" w:rsidP="00CE1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Lotus">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Nazanin">
    <w:panose1 w:val="00000700000000000000"/>
    <w:charset w:val="B2"/>
    <w:family w:val="auto"/>
    <w:pitch w:val="variable"/>
    <w:sig w:usb0="00002001" w:usb1="80000000" w:usb2="00000008" w:usb3="00000000" w:csb0="00000040" w:csb1="00000000"/>
  </w:font>
  <w:font w:name="Times New Roman Bold">
    <w:panose1 w:val="00000000000000000000"/>
    <w:charset w:val="B2"/>
    <w:family w:val="auto"/>
    <w:notTrueType/>
    <w:pitch w:val="default"/>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12715355"/>
      <w:docPartObj>
        <w:docPartGallery w:val="Page Numbers (Bottom of Page)"/>
        <w:docPartUnique/>
      </w:docPartObj>
    </w:sdtPr>
    <w:sdtContent>
      <w:p w14:paraId="587894EB" w14:textId="77777777" w:rsidR="00E1609B" w:rsidRDefault="00E1609B">
        <w:pPr>
          <w:pStyle w:val="Footer"/>
          <w:jc w:val="center"/>
        </w:pPr>
        <w:r>
          <w:fldChar w:fldCharType="begin"/>
        </w:r>
        <w:r>
          <w:instrText xml:space="preserve"> PAGE   \* MERGEFORMAT </w:instrText>
        </w:r>
        <w:r>
          <w:fldChar w:fldCharType="separate"/>
        </w:r>
        <w:r w:rsidR="00652AC5">
          <w:rPr>
            <w:noProof/>
            <w:rtl/>
          </w:rPr>
          <w:t>22</w:t>
        </w:r>
        <w:r>
          <w:rPr>
            <w:noProof/>
          </w:rPr>
          <w:fldChar w:fldCharType="end"/>
        </w:r>
      </w:p>
    </w:sdtContent>
  </w:sdt>
  <w:p w14:paraId="24F5D177" w14:textId="77777777" w:rsidR="00E1609B" w:rsidRDefault="00E160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7B22D" w14:textId="77777777" w:rsidR="00FC41EB" w:rsidRDefault="00FC41EB" w:rsidP="00CE10BB">
      <w:r>
        <w:separator/>
      </w:r>
    </w:p>
  </w:footnote>
  <w:footnote w:type="continuationSeparator" w:id="0">
    <w:p w14:paraId="41827857" w14:textId="77777777" w:rsidR="00FC41EB" w:rsidRDefault="00FC41EB" w:rsidP="00CE10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B4CAF"/>
    <w:multiLevelType w:val="multilevel"/>
    <w:tmpl w:val="2708B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DA76BD"/>
    <w:multiLevelType w:val="multilevel"/>
    <w:tmpl w:val="F22AE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4E1C4E"/>
    <w:multiLevelType w:val="multilevel"/>
    <w:tmpl w:val="412C9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705DC9"/>
    <w:multiLevelType w:val="hybridMultilevel"/>
    <w:tmpl w:val="D92ACBDE"/>
    <w:lvl w:ilvl="0" w:tplc="9EA6B27A">
      <w:start w:val="1"/>
      <w:numFmt w:val="decimal"/>
      <w:lvlText w:val="%1."/>
      <w:lvlJc w:val="left"/>
      <w:pPr>
        <w:ind w:left="1004" w:hanging="360"/>
      </w:pPr>
      <w:rPr>
        <w:rFonts w:ascii="Times New Roman" w:hAnsi="Times New Roman" w:cs="B Lotus" w:hint="default"/>
        <w:b w:val="0"/>
        <w:bCs w:val="0"/>
        <w:i w:val="0"/>
        <w:iCs w:val="0"/>
        <w:sz w:val="22"/>
        <w:szCs w:val="26"/>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15:restartNumberingAfterBreak="0">
    <w:nsid w:val="3FEE4AA6"/>
    <w:multiLevelType w:val="hybridMultilevel"/>
    <w:tmpl w:val="273EFDF4"/>
    <w:lvl w:ilvl="0" w:tplc="9EA6B27A">
      <w:start w:val="1"/>
      <w:numFmt w:val="decimal"/>
      <w:lvlText w:val="%1."/>
      <w:lvlJc w:val="left"/>
      <w:pPr>
        <w:ind w:left="502" w:hanging="360"/>
      </w:pPr>
      <w:rPr>
        <w:rFonts w:ascii="Times New Roman" w:hAnsi="Times New Roman" w:cs="B Lotus" w:hint="default"/>
        <w:b w:val="0"/>
        <w:bCs w:val="0"/>
        <w:i w:val="0"/>
        <w:iCs w:val="0"/>
        <w:sz w:val="22"/>
        <w:szCs w:val="26"/>
      </w:rPr>
    </w:lvl>
    <w:lvl w:ilvl="1" w:tplc="04090019" w:tentative="1">
      <w:start w:val="1"/>
      <w:numFmt w:val="lowerLetter"/>
      <w:lvlText w:val="%2."/>
      <w:lvlJc w:val="left"/>
      <w:pPr>
        <w:ind w:left="3283" w:hanging="360"/>
      </w:pPr>
    </w:lvl>
    <w:lvl w:ilvl="2" w:tplc="0409001B" w:tentative="1">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5" w15:restartNumberingAfterBreak="0">
    <w:nsid w:val="4A463405"/>
    <w:multiLevelType w:val="multilevel"/>
    <w:tmpl w:val="C67AB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F673A6D"/>
    <w:multiLevelType w:val="multilevel"/>
    <w:tmpl w:val="3350E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6231563"/>
    <w:multiLevelType w:val="hybridMultilevel"/>
    <w:tmpl w:val="5FBE7BC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16cid:durableId="1967153957">
    <w:abstractNumId w:val="5"/>
  </w:num>
  <w:num w:numId="2" w16cid:durableId="1728259538">
    <w:abstractNumId w:val="1"/>
  </w:num>
  <w:num w:numId="3" w16cid:durableId="914583969">
    <w:abstractNumId w:val="0"/>
  </w:num>
  <w:num w:numId="4" w16cid:durableId="701366693">
    <w:abstractNumId w:val="6"/>
  </w:num>
  <w:num w:numId="5" w16cid:durableId="326204784">
    <w:abstractNumId w:val="2"/>
  </w:num>
  <w:num w:numId="6" w16cid:durableId="1455640766">
    <w:abstractNumId w:val="7"/>
  </w:num>
  <w:num w:numId="7" w16cid:durableId="189878761">
    <w:abstractNumId w:val="3"/>
  </w:num>
  <w:num w:numId="8" w16cid:durableId="17269511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pssazaag2aaddet2t059r5iar52e0zdp92s&quot;&gt;My EndNote Library&lt;record-ids&gt;&lt;item&gt;7&lt;/item&gt;&lt;item&gt;10&lt;/item&gt;&lt;item&gt;13&lt;/item&gt;&lt;item&gt;14&lt;/item&gt;&lt;item&gt;16&lt;/item&gt;&lt;item&gt;17&lt;/item&gt;&lt;item&gt;18&lt;/item&gt;&lt;item&gt;19&lt;/item&gt;&lt;item&gt;21&lt;/item&gt;&lt;item&gt;22&lt;/item&gt;&lt;item&gt;24&lt;/item&gt;&lt;item&gt;26&lt;/item&gt;&lt;item&gt;30&lt;/item&gt;&lt;item&gt;31&lt;/item&gt;&lt;item&gt;34&lt;/item&gt;&lt;item&gt;35&lt;/item&gt;&lt;item&gt;40&lt;/item&gt;&lt;item&gt;41&lt;/item&gt;&lt;item&gt;42&lt;/item&gt;&lt;item&gt;44&lt;/item&gt;&lt;item&gt;46&lt;/item&gt;&lt;item&gt;47&lt;/item&gt;&lt;item&gt;50&lt;/item&gt;&lt;item&gt;57&lt;/item&gt;&lt;item&gt;58&lt;/item&gt;&lt;item&gt;59&lt;/item&gt;&lt;item&gt;60&lt;/item&gt;&lt;item&gt;62&lt;/item&gt;&lt;item&gt;63&lt;/item&gt;&lt;item&gt;64&lt;/item&gt;&lt;item&gt;65&lt;/item&gt;&lt;item&gt;66&lt;/item&gt;&lt;item&gt;263&lt;/item&gt;&lt;item&gt;264&lt;/item&gt;&lt;/record-ids&gt;&lt;/item&gt;&lt;/Libraries&gt;"/>
  </w:docVars>
  <w:rsids>
    <w:rsidRoot w:val="00462C54"/>
    <w:rsid w:val="000028CB"/>
    <w:rsid w:val="000216F6"/>
    <w:rsid w:val="0004441F"/>
    <w:rsid w:val="000910F9"/>
    <w:rsid w:val="000B1EA4"/>
    <w:rsid w:val="000F7083"/>
    <w:rsid w:val="00114B9C"/>
    <w:rsid w:val="00165555"/>
    <w:rsid w:val="001E1A03"/>
    <w:rsid w:val="00207C26"/>
    <w:rsid w:val="002112C3"/>
    <w:rsid w:val="00252C48"/>
    <w:rsid w:val="00263D7A"/>
    <w:rsid w:val="00282D7D"/>
    <w:rsid w:val="0029237B"/>
    <w:rsid w:val="00292C13"/>
    <w:rsid w:val="002A140B"/>
    <w:rsid w:val="002A7EF2"/>
    <w:rsid w:val="002F57D6"/>
    <w:rsid w:val="00324B4D"/>
    <w:rsid w:val="003317B3"/>
    <w:rsid w:val="003475A8"/>
    <w:rsid w:val="00366061"/>
    <w:rsid w:val="003854BC"/>
    <w:rsid w:val="0039687D"/>
    <w:rsid w:val="003A1748"/>
    <w:rsid w:val="003D7BF1"/>
    <w:rsid w:val="003E0867"/>
    <w:rsid w:val="00430583"/>
    <w:rsid w:val="00462C54"/>
    <w:rsid w:val="004A393F"/>
    <w:rsid w:val="004E3086"/>
    <w:rsid w:val="00531789"/>
    <w:rsid w:val="00534647"/>
    <w:rsid w:val="005429EA"/>
    <w:rsid w:val="0054678E"/>
    <w:rsid w:val="005506A3"/>
    <w:rsid w:val="00555CA3"/>
    <w:rsid w:val="00565E44"/>
    <w:rsid w:val="005E14AD"/>
    <w:rsid w:val="00633499"/>
    <w:rsid w:val="00640226"/>
    <w:rsid w:val="00647DA9"/>
    <w:rsid w:val="0065057A"/>
    <w:rsid w:val="00651A67"/>
    <w:rsid w:val="00652AC5"/>
    <w:rsid w:val="00661549"/>
    <w:rsid w:val="006624F5"/>
    <w:rsid w:val="006C513C"/>
    <w:rsid w:val="006F7B50"/>
    <w:rsid w:val="007442CC"/>
    <w:rsid w:val="00747664"/>
    <w:rsid w:val="00752711"/>
    <w:rsid w:val="00772424"/>
    <w:rsid w:val="007B7421"/>
    <w:rsid w:val="007C346B"/>
    <w:rsid w:val="007D214A"/>
    <w:rsid w:val="007E7BEC"/>
    <w:rsid w:val="0080430F"/>
    <w:rsid w:val="0081723B"/>
    <w:rsid w:val="0083336A"/>
    <w:rsid w:val="00834618"/>
    <w:rsid w:val="00853216"/>
    <w:rsid w:val="0087371F"/>
    <w:rsid w:val="008A675A"/>
    <w:rsid w:val="008B1294"/>
    <w:rsid w:val="008F3765"/>
    <w:rsid w:val="00915E76"/>
    <w:rsid w:val="0092244D"/>
    <w:rsid w:val="009528ED"/>
    <w:rsid w:val="009A4205"/>
    <w:rsid w:val="009A5306"/>
    <w:rsid w:val="00A508AB"/>
    <w:rsid w:val="00A6144F"/>
    <w:rsid w:val="00AB3BA7"/>
    <w:rsid w:val="00AB5981"/>
    <w:rsid w:val="00AD41AD"/>
    <w:rsid w:val="00AE1BF1"/>
    <w:rsid w:val="00AE547E"/>
    <w:rsid w:val="00AF22F5"/>
    <w:rsid w:val="00B12057"/>
    <w:rsid w:val="00B71118"/>
    <w:rsid w:val="00B7299B"/>
    <w:rsid w:val="00B956FB"/>
    <w:rsid w:val="00BC6905"/>
    <w:rsid w:val="00BE7135"/>
    <w:rsid w:val="00BF2EEE"/>
    <w:rsid w:val="00C216CE"/>
    <w:rsid w:val="00C6541C"/>
    <w:rsid w:val="00C67709"/>
    <w:rsid w:val="00CB0E1C"/>
    <w:rsid w:val="00CB716A"/>
    <w:rsid w:val="00CC5A8C"/>
    <w:rsid w:val="00CE10BB"/>
    <w:rsid w:val="00D055AC"/>
    <w:rsid w:val="00D77CDB"/>
    <w:rsid w:val="00D9110F"/>
    <w:rsid w:val="00DA5219"/>
    <w:rsid w:val="00DE171E"/>
    <w:rsid w:val="00E02FA9"/>
    <w:rsid w:val="00E04BDE"/>
    <w:rsid w:val="00E1609B"/>
    <w:rsid w:val="00E42EAA"/>
    <w:rsid w:val="00E44C42"/>
    <w:rsid w:val="00E47662"/>
    <w:rsid w:val="00E571FD"/>
    <w:rsid w:val="00E70E90"/>
    <w:rsid w:val="00E84327"/>
    <w:rsid w:val="00E84B1C"/>
    <w:rsid w:val="00E869FF"/>
    <w:rsid w:val="00E93E56"/>
    <w:rsid w:val="00EA2638"/>
    <w:rsid w:val="00EF4BAE"/>
    <w:rsid w:val="00F06176"/>
    <w:rsid w:val="00F15171"/>
    <w:rsid w:val="00F20099"/>
    <w:rsid w:val="00F22768"/>
    <w:rsid w:val="00F631BD"/>
    <w:rsid w:val="00FB51C2"/>
    <w:rsid w:val="00FB6013"/>
    <w:rsid w:val="00FC41EB"/>
    <w:rsid w:val="00FD05A2"/>
    <w:rsid w:val="00FD6CD7"/>
    <w:rsid w:val="00FF2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E0694"/>
  <w15:chartTrackingRefBased/>
  <w15:docId w15:val="{F5AB84DE-7862-43ED-8999-8C19C49D1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color w:val="1B1C1D"/>
        <w:sz w:val="24"/>
        <w:szCs w:val="28"/>
        <w:lang w:val="en-US" w:eastAsia="en-US" w:bidi="ar-SA"/>
      </w:rPr>
    </w:rPrDefault>
    <w:pPrDefault>
      <w:pPr>
        <w:bidi/>
        <w:spacing w:after="160" w:line="360" w:lineRule="auto"/>
        <w:ind w:firstLine="567"/>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5AC"/>
    <w:pPr>
      <w:spacing w:after="0" w:line="240" w:lineRule="auto"/>
      <w:ind w:firstLine="284"/>
      <w:jc w:val="both"/>
    </w:pPr>
    <w:rPr>
      <w:rFonts w:eastAsia="B Nazanin" w:cs="B Lotus"/>
      <w:sz w:val="22"/>
      <w:szCs w:val="26"/>
    </w:rPr>
  </w:style>
  <w:style w:type="paragraph" w:styleId="Heading1">
    <w:name w:val="heading 1"/>
    <w:basedOn w:val="Normal"/>
    <w:next w:val="Normal"/>
    <w:link w:val="Heading1Char"/>
    <w:uiPriority w:val="9"/>
    <w:qFormat/>
    <w:rsid w:val="00BF2EEE"/>
    <w:pPr>
      <w:keepNext/>
      <w:keepLines/>
      <w:outlineLvl w:val="0"/>
    </w:pPr>
    <w:rPr>
      <w:rFonts w:ascii="B Nazanin" w:eastAsiaTheme="majorEastAsia" w:hAnsi="B Nazanin"/>
      <w:b/>
      <w:bCs/>
      <w:sz w:val="26"/>
      <w:szCs w:val="32"/>
    </w:rPr>
  </w:style>
  <w:style w:type="paragraph" w:styleId="Heading2">
    <w:name w:val="heading 2"/>
    <w:basedOn w:val="Normal"/>
    <w:next w:val="Normal"/>
    <w:link w:val="Heading2Char"/>
    <w:uiPriority w:val="9"/>
    <w:qFormat/>
    <w:rsid w:val="00E1609B"/>
    <w:pPr>
      <w:keepNext/>
      <w:outlineLvl w:val="1"/>
    </w:pPr>
    <w:rPr>
      <w:rFonts w:ascii="Times New Roman Bold" w:hAnsi="Times New Roman Bold"/>
      <w:b/>
      <w:bCs/>
    </w:rPr>
  </w:style>
  <w:style w:type="paragraph" w:styleId="Heading3">
    <w:name w:val="heading 3"/>
    <w:basedOn w:val="Normal"/>
    <w:link w:val="Heading3Char"/>
    <w:uiPriority w:val="9"/>
    <w:qFormat/>
    <w:rsid w:val="00462C54"/>
    <w:pPr>
      <w:bidi w:val="0"/>
      <w:spacing w:before="100" w:beforeAutospacing="1" w:after="100" w:afterAutospacing="1"/>
      <w:ind w:firstLine="0"/>
      <w:jc w:val="left"/>
      <w:outlineLvl w:val="2"/>
    </w:pPr>
    <w:rPr>
      <w:rFonts w:ascii="B Nazanin" w:hAnsi="B Nazanin" w:cs="Times New Roman"/>
      <w:b/>
      <w:bCs/>
      <w:color w:val="auto"/>
      <w:sz w:val="26"/>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2EEE"/>
    <w:rPr>
      <w:rFonts w:ascii="Times New Roman Bold" w:eastAsiaTheme="majorEastAsia" w:hAnsi="Times New Roman Bold" w:cs="B Lotus"/>
      <w:b/>
      <w:bCs/>
      <w:sz w:val="28"/>
      <w:szCs w:val="32"/>
    </w:rPr>
  </w:style>
  <w:style w:type="character" w:customStyle="1" w:styleId="Heading2Char">
    <w:name w:val="Heading 2 Char"/>
    <w:basedOn w:val="DefaultParagraphFont"/>
    <w:link w:val="Heading2"/>
    <w:uiPriority w:val="9"/>
    <w:rsid w:val="00E1609B"/>
    <w:rPr>
      <w:rFonts w:ascii="Times New Roman Bold" w:eastAsia="B Nazanin" w:hAnsi="Times New Roman Bold" w:cs="B Lotus"/>
      <w:b/>
      <w:bCs/>
      <w:sz w:val="21"/>
      <w:szCs w:val="26"/>
    </w:rPr>
  </w:style>
  <w:style w:type="paragraph" w:styleId="NormalWeb">
    <w:name w:val="Normal (Web)"/>
    <w:basedOn w:val="Normal"/>
    <w:uiPriority w:val="99"/>
    <w:semiHidden/>
    <w:unhideWhenUsed/>
    <w:rsid w:val="00462C54"/>
    <w:pPr>
      <w:bidi w:val="0"/>
      <w:spacing w:before="100" w:beforeAutospacing="1" w:after="100" w:afterAutospacing="1"/>
      <w:ind w:firstLine="0"/>
      <w:jc w:val="left"/>
    </w:pPr>
    <w:rPr>
      <w:rFonts w:eastAsia="Times New Roman" w:cs="Times New Roman"/>
      <w:color w:val="auto"/>
      <w:sz w:val="24"/>
      <w:szCs w:val="24"/>
    </w:rPr>
  </w:style>
  <w:style w:type="character" w:styleId="Strong">
    <w:name w:val="Strong"/>
    <w:basedOn w:val="DefaultParagraphFont"/>
    <w:uiPriority w:val="22"/>
    <w:qFormat/>
    <w:rsid w:val="00462C54"/>
    <w:rPr>
      <w:b/>
      <w:bCs/>
    </w:rPr>
  </w:style>
  <w:style w:type="character" w:customStyle="1" w:styleId="Heading3Char">
    <w:name w:val="Heading 3 Char"/>
    <w:basedOn w:val="DefaultParagraphFont"/>
    <w:link w:val="Heading3"/>
    <w:uiPriority w:val="9"/>
    <w:rsid w:val="00462C54"/>
    <w:rPr>
      <w:rFonts w:eastAsia="Times New Roman" w:cs="Times New Roman"/>
      <w:b/>
      <w:bCs/>
      <w:color w:val="auto"/>
      <w:sz w:val="27"/>
      <w:szCs w:val="27"/>
    </w:rPr>
  </w:style>
  <w:style w:type="character" w:styleId="Emphasis">
    <w:name w:val="Emphasis"/>
    <w:basedOn w:val="DefaultParagraphFont"/>
    <w:uiPriority w:val="20"/>
    <w:qFormat/>
    <w:rsid w:val="00462C54"/>
    <w:rPr>
      <w:i/>
      <w:iCs/>
    </w:rPr>
  </w:style>
  <w:style w:type="character" w:customStyle="1" w:styleId="mord">
    <w:name w:val="mord"/>
    <w:basedOn w:val="DefaultParagraphFont"/>
    <w:rsid w:val="00462C54"/>
  </w:style>
  <w:style w:type="character" w:customStyle="1" w:styleId="mspace">
    <w:name w:val="mspace"/>
    <w:basedOn w:val="DefaultParagraphFont"/>
    <w:rsid w:val="00462C54"/>
  </w:style>
  <w:style w:type="character" w:customStyle="1" w:styleId="mrel">
    <w:name w:val="mrel"/>
    <w:basedOn w:val="DefaultParagraphFont"/>
    <w:rsid w:val="00462C54"/>
  </w:style>
  <w:style w:type="character" w:customStyle="1" w:styleId="mop">
    <w:name w:val="mop"/>
    <w:basedOn w:val="DefaultParagraphFont"/>
    <w:rsid w:val="00462C54"/>
  </w:style>
  <w:style w:type="character" w:customStyle="1" w:styleId="vlist-s">
    <w:name w:val="vlist-s"/>
    <w:basedOn w:val="DefaultParagraphFont"/>
    <w:rsid w:val="00462C54"/>
  </w:style>
  <w:style w:type="character" w:styleId="HTMLCode">
    <w:name w:val="HTML Code"/>
    <w:basedOn w:val="DefaultParagraphFont"/>
    <w:uiPriority w:val="99"/>
    <w:semiHidden/>
    <w:unhideWhenUsed/>
    <w:rsid w:val="00462C54"/>
    <w:rPr>
      <w:rFonts w:ascii="Courier New" w:eastAsia="Times New Roman" w:hAnsi="Courier New" w:cs="Courier New"/>
      <w:sz w:val="20"/>
      <w:szCs w:val="20"/>
    </w:rPr>
  </w:style>
  <w:style w:type="paragraph" w:customStyle="1" w:styleId="EndNoteBibliographyTitle">
    <w:name w:val="EndNote Bibliography Title"/>
    <w:basedOn w:val="Normal"/>
    <w:link w:val="EndNoteBibliographyTitleChar"/>
    <w:rsid w:val="00BF2EEE"/>
    <w:pPr>
      <w:jc w:val="center"/>
    </w:pPr>
    <w:rPr>
      <w:rFonts w:cs="Times New Roman"/>
      <w:noProof/>
    </w:rPr>
  </w:style>
  <w:style w:type="character" w:customStyle="1" w:styleId="EndNoteBibliographyTitleChar">
    <w:name w:val="EndNote Bibliography Title Char"/>
    <w:basedOn w:val="DefaultParagraphFont"/>
    <w:link w:val="EndNoteBibliographyTitle"/>
    <w:rsid w:val="00BF2EEE"/>
    <w:rPr>
      <w:rFonts w:eastAsia="B Nazanin" w:cs="Times New Roman"/>
      <w:noProof/>
      <w:sz w:val="22"/>
      <w:szCs w:val="26"/>
    </w:rPr>
  </w:style>
  <w:style w:type="paragraph" w:customStyle="1" w:styleId="EndNoteBibliography">
    <w:name w:val="EndNote Bibliography"/>
    <w:basedOn w:val="Normal"/>
    <w:link w:val="EndNoteBibliographyChar"/>
    <w:rsid w:val="00BF2EEE"/>
    <w:rPr>
      <w:rFonts w:cs="Times New Roman"/>
      <w:noProof/>
    </w:rPr>
  </w:style>
  <w:style w:type="character" w:customStyle="1" w:styleId="EndNoteBibliographyChar">
    <w:name w:val="EndNote Bibliography Char"/>
    <w:basedOn w:val="DefaultParagraphFont"/>
    <w:link w:val="EndNoteBibliography"/>
    <w:rsid w:val="00BF2EEE"/>
    <w:rPr>
      <w:rFonts w:eastAsia="B Nazanin" w:cs="Times New Roman"/>
      <w:noProof/>
      <w:sz w:val="22"/>
      <w:szCs w:val="26"/>
    </w:rPr>
  </w:style>
  <w:style w:type="table" w:styleId="TableGrid">
    <w:name w:val="Table Grid"/>
    <w:basedOn w:val="TableNormal"/>
    <w:uiPriority w:val="39"/>
    <w:rsid w:val="002112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02FA9"/>
    <w:pPr>
      <w:spacing w:after="0" w:line="240" w:lineRule="auto"/>
      <w:ind w:firstLine="284"/>
      <w:jc w:val="both"/>
    </w:pPr>
    <w:rPr>
      <w:rFonts w:cs="B Lotus"/>
      <w:sz w:val="22"/>
      <w:szCs w:val="26"/>
    </w:rPr>
  </w:style>
  <w:style w:type="paragraph" w:styleId="ListParagraph">
    <w:name w:val="List Paragraph"/>
    <w:basedOn w:val="Normal"/>
    <w:uiPriority w:val="34"/>
    <w:qFormat/>
    <w:rsid w:val="00E02FA9"/>
    <w:pPr>
      <w:ind w:left="720"/>
      <w:contextualSpacing/>
    </w:pPr>
  </w:style>
  <w:style w:type="character" w:styleId="Hyperlink">
    <w:name w:val="Hyperlink"/>
    <w:basedOn w:val="DefaultParagraphFont"/>
    <w:uiPriority w:val="99"/>
    <w:unhideWhenUsed/>
    <w:rsid w:val="00F06176"/>
    <w:rPr>
      <w:color w:val="0000FF"/>
      <w:u w:val="single"/>
    </w:rPr>
  </w:style>
  <w:style w:type="paragraph" w:customStyle="1" w:styleId="pdq2pgselectionanchorcontainer">
    <w:name w:val="pdq2pg_selectionanchorcontainer"/>
    <w:basedOn w:val="Normal"/>
    <w:rsid w:val="00F06176"/>
    <w:pPr>
      <w:bidi w:val="0"/>
      <w:spacing w:before="100" w:beforeAutospacing="1" w:after="100" w:afterAutospacing="1"/>
      <w:ind w:firstLine="0"/>
      <w:jc w:val="left"/>
    </w:pPr>
    <w:rPr>
      <w:rFonts w:eastAsia="Times New Roman" w:cs="Times New Roman"/>
      <w:color w:val="auto"/>
      <w:sz w:val="24"/>
      <w:szCs w:val="24"/>
    </w:rPr>
  </w:style>
  <w:style w:type="paragraph" w:styleId="Header">
    <w:name w:val="header"/>
    <w:basedOn w:val="Normal"/>
    <w:link w:val="HeaderChar"/>
    <w:uiPriority w:val="99"/>
    <w:unhideWhenUsed/>
    <w:rsid w:val="00CE10BB"/>
    <w:pPr>
      <w:tabs>
        <w:tab w:val="center" w:pos="4680"/>
        <w:tab w:val="right" w:pos="9360"/>
      </w:tabs>
    </w:pPr>
  </w:style>
  <w:style w:type="character" w:customStyle="1" w:styleId="HeaderChar">
    <w:name w:val="Header Char"/>
    <w:basedOn w:val="DefaultParagraphFont"/>
    <w:link w:val="Header"/>
    <w:uiPriority w:val="99"/>
    <w:rsid w:val="00CE10BB"/>
    <w:rPr>
      <w:rFonts w:cs="B Lotus"/>
      <w:sz w:val="22"/>
      <w:szCs w:val="26"/>
    </w:rPr>
  </w:style>
  <w:style w:type="paragraph" w:styleId="Footer">
    <w:name w:val="footer"/>
    <w:basedOn w:val="Normal"/>
    <w:link w:val="FooterChar"/>
    <w:uiPriority w:val="99"/>
    <w:unhideWhenUsed/>
    <w:rsid w:val="00CE10BB"/>
    <w:pPr>
      <w:tabs>
        <w:tab w:val="center" w:pos="4680"/>
        <w:tab w:val="right" w:pos="9360"/>
      </w:tabs>
    </w:pPr>
  </w:style>
  <w:style w:type="character" w:customStyle="1" w:styleId="FooterChar">
    <w:name w:val="Footer Char"/>
    <w:basedOn w:val="DefaultParagraphFont"/>
    <w:link w:val="Footer"/>
    <w:uiPriority w:val="99"/>
    <w:rsid w:val="00CE10BB"/>
    <w:rPr>
      <w:rFonts w:cs="B Lotus"/>
      <w:sz w:val="22"/>
      <w:szCs w:val="26"/>
    </w:rPr>
  </w:style>
  <w:style w:type="character" w:styleId="PlaceholderText">
    <w:name w:val="Placeholder Text"/>
    <w:basedOn w:val="DefaultParagraphFont"/>
    <w:uiPriority w:val="99"/>
    <w:semiHidden/>
    <w:rsid w:val="0054678E"/>
    <w:rPr>
      <w:color w:val="666666"/>
    </w:rPr>
  </w:style>
  <w:style w:type="character" w:styleId="UnresolvedMention">
    <w:name w:val="Unresolved Mention"/>
    <w:basedOn w:val="DefaultParagraphFont"/>
    <w:uiPriority w:val="99"/>
    <w:semiHidden/>
    <w:unhideWhenUsed/>
    <w:rsid w:val="005467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15615">
      <w:bodyDiv w:val="1"/>
      <w:marLeft w:val="0"/>
      <w:marRight w:val="0"/>
      <w:marTop w:val="0"/>
      <w:marBottom w:val="0"/>
      <w:divBdr>
        <w:top w:val="none" w:sz="0" w:space="0" w:color="auto"/>
        <w:left w:val="none" w:sz="0" w:space="0" w:color="auto"/>
        <w:bottom w:val="none" w:sz="0" w:space="0" w:color="auto"/>
        <w:right w:val="none" w:sz="0" w:space="0" w:color="auto"/>
      </w:divBdr>
    </w:div>
    <w:div w:id="432671250">
      <w:bodyDiv w:val="1"/>
      <w:marLeft w:val="0"/>
      <w:marRight w:val="0"/>
      <w:marTop w:val="0"/>
      <w:marBottom w:val="0"/>
      <w:divBdr>
        <w:top w:val="none" w:sz="0" w:space="0" w:color="auto"/>
        <w:left w:val="none" w:sz="0" w:space="0" w:color="auto"/>
        <w:bottom w:val="none" w:sz="0" w:space="0" w:color="auto"/>
        <w:right w:val="none" w:sz="0" w:space="0" w:color="auto"/>
      </w:divBdr>
    </w:div>
    <w:div w:id="976643588">
      <w:bodyDiv w:val="1"/>
      <w:marLeft w:val="0"/>
      <w:marRight w:val="0"/>
      <w:marTop w:val="0"/>
      <w:marBottom w:val="0"/>
      <w:divBdr>
        <w:top w:val="none" w:sz="0" w:space="0" w:color="auto"/>
        <w:left w:val="none" w:sz="0" w:space="0" w:color="auto"/>
        <w:bottom w:val="none" w:sz="0" w:space="0" w:color="auto"/>
        <w:right w:val="none" w:sz="0" w:space="0" w:color="auto"/>
      </w:divBdr>
      <w:divsChild>
        <w:div w:id="495727050">
          <w:marLeft w:val="0"/>
          <w:marRight w:val="0"/>
          <w:marTop w:val="0"/>
          <w:marBottom w:val="0"/>
          <w:divBdr>
            <w:top w:val="none" w:sz="0" w:space="0" w:color="auto"/>
            <w:left w:val="none" w:sz="0" w:space="0" w:color="auto"/>
            <w:bottom w:val="none" w:sz="0" w:space="0" w:color="auto"/>
            <w:right w:val="none" w:sz="0" w:space="0" w:color="auto"/>
          </w:divBdr>
          <w:divsChild>
            <w:div w:id="4868959">
              <w:marLeft w:val="0"/>
              <w:marRight w:val="0"/>
              <w:marTop w:val="0"/>
              <w:marBottom w:val="0"/>
              <w:divBdr>
                <w:top w:val="none" w:sz="0" w:space="0" w:color="auto"/>
                <w:left w:val="none" w:sz="0" w:space="0" w:color="auto"/>
                <w:bottom w:val="none" w:sz="0" w:space="0" w:color="auto"/>
                <w:right w:val="none" w:sz="0" w:space="0" w:color="auto"/>
              </w:divBdr>
            </w:div>
          </w:divsChild>
        </w:div>
        <w:div w:id="1611550103">
          <w:marLeft w:val="0"/>
          <w:marRight w:val="0"/>
          <w:marTop w:val="0"/>
          <w:marBottom w:val="0"/>
          <w:divBdr>
            <w:top w:val="none" w:sz="0" w:space="0" w:color="auto"/>
            <w:left w:val="none" w:sz="0" w:space="0" w:color="auto"/>
            <w:bottom w:val="none" w:sz="0" w:space="0" w:color="auto"/>
            <w:right w:val="none" w:sz="0" w:space="0" w:color="auto"/>
          </w:divBdr>
          <w:divsChild>
            <w:div w:id="286281496">
              <w:marLeft w:val="0"/>
              <w:marRight w:val="0"/>
              <w:marTop w:val="0"/>
              <w:marBottom w:val="0"/>
              <w:divBdr>
                <w:top w:val="none" w:sz="0" w:space="0" w:color="auto"/>
                <w:left w:val="none" w:sz="0" w:space="0" w:color="auto"/>
                <w:bottom w:val="none" w:sz="0" w:space="0" w:color="auto"/>
                <w:right w:val="none" w:sz="0" w:space="0" w:color="auto"/>
              </w:divBdr>
            </w:div>
          </w:divsChild>
        </w:div>
        <w:div w:id="139426381">
          <w:blockQuote w:val="1"/>
          <w:marLeft w:val="720"/>
          <w:marRight w:val="720"/>
          <w:marTop w:val="100"/>
          <w:marBottom w:val="100"/>
          <w:divBdr>
            <w:top w:val="none" w:sz="0" w:space="0" w:color="auto"/>
            <w:left w:val="none" w:sz="0" w:space="0" w:color="auto"/>
            <w:bottom w:val="none" w:sz="0" w:space="0" w:color="auto"/>
            <w:right w:val="none" w:sz="0" w:space="0" w:color="auto"/>
          </w:divBdr>
        </w:div>
        <w:div w:id="1540703842">
          <w:marLeft w:val="0"/>
          <w:marRight w:val="0"/>
          <w:marTop w:val="0"/>
          <w:marBottom w:val="0"/>
          <w:divBdr>
            <w:top w:val="none" w:sz="0" w:space="0" w:color="auto"/>
            <w:left w:val="none" w:sz="0" w:space="0" w:color="auto"/>
            <w:bottom w:val="none" w:sz="0" w:space="0" w:color="auto"/>
            <w:right w:val="none" w:sz="0" w:space="0" w:color="auto"/>
          </w:divBdr>
          <w:divsChild>
            <w:div w:id="81988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892274">
      <w:bodyDiv w:val="1"/>
      <w:marLeft w:val="0"/>
      <w:marRight w:val="0"/>
      <w:marTop w:val="0"/>
      <w:marBottom w:val="0"/>
      <w:divBdr>
        <w:top w:val="none" w:sz="0" w:space="0" w:color="auto"/>
        <w:left w:val="none" w:sz="0" w:space="0" w:color="auto"/>
        <w:bottom w:val="none" w:sz="0" w:space="0" w:color="auto"/>
        <w:right w:val="none" w:sz="0" w:space="0" w:color="auto"/>
      </w:divBdr>
    </w:div>
    <w:div w:id="1423724058">
      <w:bodyDiv w:val="1"/>
      <w:marLeft w:val="0"/>
      <w:marRight w:val="0"/>
      <w:marTop w:val="0"/>
      <w:marBottom w:val="0"/>
      <w:divBdr>
        <w:top w:val="none" w:sz="0" w:space="0" w:color="auto"/>
        <w:left w:val="none" w:sz="0" w:space="0" w:color="auto"/>
        <w:bottom w:val="none" w:sz="0" w:space="0" w:color="auto"/>
        <w:right w:val="none" w:sz="0" w:space="0" w:color="auto"/>
      </w:divBdr>
    </w:div>
    <w:div w:id="1702322858">
      <w:bodyDiv w:val="1"/>
      <w:marLeft w:val="0"/>
      <w:marRight w:val="0"/>
      <w:marTop w:val="0"/>
      <w:marBottom w:val="0"/>
      <w:divBdr>
        <w:top w:val="none" w:sz="0" w:space="0" w:color="auto"/>
        <w:left w:val="none" w:sz="0" w:space="0" w:color="auto"/>
        <w:bottom w:val="none" w:sz="0" w:space="0" w:color="auto"/>
        <w:right w:val="none" w:sz="0" w:space="0" w:color="auto"/>
      </w:divBdr>
    </w:div>
    <w:div w:id="1799371721">
      <w:bodyDiv w:val="1"/>
      <w:marLeft w:val="0"/>
      <w:marRight w:val="0"/>
      <w:marTop w:val="0"/>
      <w:marBottom w:val="0"/>
      <w:divBdr>
        <w:top w:val="none" w:sz="0" w:space="0" w:color="auto"/>
        <w:left w:val="none" w:sz="0" w:space="0" w:color="auto"/>
        <w:bottom w:val="none" w:sz="0" w:space="0" w:color="auto"/>
        <w:right w:val="none" w:sz="0" w:space="0" w:color="auto"/>
      </w:divBdr>
      <w:divsChild>
        <w:div w:id="14313161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784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eiar.2015.12.003" TargetMode="External"/><Relationship Id="rId18" Type="http://schemas.openxmlformats.org/officeDocument/2006/relationships/hyperlink" Target="https://doi.org/10.13033/ijahp.v4i1.102" TargetMode="External"/><Relationship Id="rId26" Type="http://schemas.openxmlformats.org/officeDocument/2006/relationships/hyperlink" Target="https://doi.org/10.82313/ACE.2026.1230361" TargetMode="External"/><Relationship Id="rId39" Type="http://schemas.openxmlformats.org/officeDocument/2006/relationships/hyperlink" Target="https://www.usgs.gov/centers/national-minerals-information-center/copper-statistics-and-information" TargetMode="External"/><Relationship Id="rId21" Type="http://schemas.openxmlformats.org/officeDocument/2006/relationships/hyperlink" Target="https://doi.org/10.3846/jeelm.2022.16280" TargetMode="External"/><Relationship Id="rId34" Type="http://schemas.openxmlformats.org/officeDocument/2006/relationships/hyperlink" Target="https://doi.org/10.1016/S0195-9255(00)00069-X" TargetMode="External"/><Relationship Id="rId42" Type="http://schemas.openxmlformats.org/officeDocument/2006/relationships/theme" Target="theme/theme1.xml"/><Relationship Id="rId7" Type="http://schemas.openxmlformats.org/officeDocument/2006/relationships/hyperlink" Target="mailto:ramazani@iau.ac.ir" TargetMode="External"/><Relationship Id="rId2" Type="http://schemas.openxmlformats.org/officeDocument/2006/relationships/styles" Target="styles.xml"/><Relationship Id="rId16" Type="http://schemas.openxmlformats.org/officeDocument/2006/relationships/hyperlink" Target="https://doi.org/10.1080/17480930.2015.1035872" TargetMode="External"/><Relationship Id="rId20" Type="http://schemas.openxmlformats.org/officeDocument/2006/relationships/hyperlink" Target="https://doi.org/10.1142/S146433321840001X" TargetMode="External"/><Relationship Id="rId29" Type="http://schemas.openxmlformats.org/officeDocument/2006/relationships/hyperlink" Target="https://doi.org/10.1080/13658810600661508"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tiff"/><Relationship Id="rId24" Type="http://schemas.openxmlformats.org/officeDocument/2006/relationships/hyperlink" Target="https://doi.org/10.1787/f262b91c-en" TargetMode="External"/><Relationship Id="rId32" Type="http://schemas.openxmlformats.org/officeDocument/2006/relationships/hyperlink" Target="https://doi.org/10.1007/BF03325965" TargetMode="External"/><Relationship Id="rId37" Type="http://schemas.openxmlformats.org/officeDocument/2006/relationships/hyperlink" Target="https://doi.org/10.1002/ieam.4857"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doi.org/10.3155/1047-3289.61.4.377" TargetMode="External"/><Relationship Id="rId23" Type="http://schemas.openxmlformats.org/officeDocument/2006/relationships/hyperlink" Target="https://www.iisd.org/publications/report/igf-strategic-environmental-assessment-mining" TargetMode="External"/><Relationship Id="rId28" Type="http://schemas.openxmlformats.org/officeDocument/2006/relationships/hyperlink" Target="https://doi.org/10.22059/jphgr.2019.259408.1007229" TargetMode="External"/><Relationship Id="rId36" Type="http://schemas.openxmlformats.org/officeDocument/2006/relationships/hyperlink" Target="https://doi.org/10.1007/s13762-024-05800-8" TargetMode="External"/><Relationship Id="rId10" Type="http://schemas.openxmlformats.org/officeDocument/2006/relationships/image" Target="media/image3.tiff"/><Relationship Id="rId19" Type="http://schemas.openxmlformats.org/officeDocument/2006/relationships/hyperlink" Target="https://doi.org/10.1016/j.resourpol.2024.105183" TargetMode="External"/><Relationship Id="rId31" Type="http://schemas.openxmlformats.org/officeDocument/2006/relationships/hyperlink" Target="https://doi.org/10.1016/j.ijmst.2021.11.009"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doi.org/10.1080/02693799108927858" TargetMode="External"/><Relationship Id="rId22" Type="http://schemas.openxmlformats.org/officeDocument/2006/relationships/hyperlink" Target="https://doi.org/10.1016/S0264-8377(01)00043-6" TargetMode="External"/><Relationship Id="rId27" Type="http://schemas.openxmlformats.org/officeDocument/2006/relationships/hyperlink" Target="https://doi.org/10.3389/fenvs.2024.1476075" TargetMode="External"/><Relationship Id="rId30" Type="http://schemas.openxmlformats.org/officeDocument/2006/relationships/hyperlink" Target="https://doi.org/10.3390/ijgi6120396" TargetMode="External"/><Relationship Id="rId35" Type="http://schemas.openxmlformats.org/officeDocument/2006/relationships/hyperlink" Target="https://doi.org/10.22044/jme.2024.13678.2582" TargetMode="External"/><Relationship Id="rId8" Type="http://schemas.openxmlformats.org/officeDocument/2006/relationships/image" Target="media/image1.jpe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hyperlink" Target="https://doi.org/10.1080/09640568.2011.646964" TargetMode="External"/><Relationship Id="rId25" Type="http://schemas.openxmlformats.org/officeDocument/2006/relationships/hyperlink" Target="https://www.iea.org/reports/copper-2" TargetMode="External"/><Relationship Id="rId33" Type="http://schemas.openxmlformats.org/officeDocument/2006/relationships/hyperlink" Target="https://doi.org/10.1016/j.jclepro.2012.09.027" TargetMode="External"/><Relationship Id="rId38" Type="http://schemas.openxmlformats.org/officeDocument/2006/relationships/hyperlink" Target="https://doi.org/10.1016/S0169-2046(01)0012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24</Pages>
  <Words>8727</Words>
  <Characters>49745</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Strategic Environmental Assessment of Sungun Copper Mine Development Using Geographic Information Systems and the Analytic Hierarchy Process</vt:lpstr>
    </vt:vector>
  </TitlesOfParts>
  <Company/>
  <LinksUpToDate>false</LinksUpToDate>
  <CharactersWithSpaces>58356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Environmental Assessment of Sungun Copper Mine Development Using Geographic Information Systems and the Analytic Hierarchy Process</dc:title>
  <dc:subject/>
  <dc:creator>Yahya Jabari</dc:creator>
  <cp:keywords/>
  <dc:description/>
  <cp:lastModifiedBy>yahya jabari</cp:lastModifiedBy>
  <cp:revision>3</cp:revision>
  <cp:lastPrinted>2026-08-12T22:02:00Z</cp:lastPrinted>
  <dcterms:created xsi:type="dcterms:W3CDTF">2026-09-18T20:16:00Z</dcterms:created>
  <dcterms:modified xsi:type="dcterms:W3CDTF">2026-09-18T22:02:00Z</dcterms:modified>
</cp:coreProperties>
</file>